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CAAD" w14:textId="3B1F7738" w:rsidR="00832F7D" w:rsidRPr="00865359" w:rsidRDefault="00B205E9" w:rsidP="00865359">
      <w:pPr>
        <w:spacing w:after="0" w:line="240" w:lineRule="auto"/>
        <w:jc w:val="right"/>
        <w:rPr>
          <w:rFonts w:ascii="InfoTextPro" w:eastAsiaTheme="majorEastAsia" w:hAnsi="InfoTextPro" w:cs="InfoTextPro"/>
          <w:b/>
          <w:color w:val="38647C"/>
          <w:sz w:val="36"/>
          <w:szCs w:val="36"/>
        </w:rPr>
      </w:pPr>
      <w:r w:rsidRPr="00865359">
        <w:rPr>
          <w:rFonts w:ascii="InfoTextPro" w:eastAsiaTheme="majorEastAsia" w:hAnsi="InfoTextPro" w:cs="InfoTextPro"/>
          <w:b/>
          <w:color w:val="38647C"/>
          <w:sz w:val="36"/>
          <w:szCs w:val="36"/>
        </w:rPr>
        <w:t>Analysis</w:t>
      </w:r>
      <w:r w:rsidR="007B6912" w:rsidRPr="00865359">
        <w:rPr>
          <w:rFonts w:ascii="InfoTextPro" w:eastAsiaTheme="majorEastAsia" w:hAnsi="InfoTextPro" w:cs="InfoTextPro"/>
          <w:b/>
          <w:color w:val="38647C"/>
          <w:sz w:val="36"/>
          <w:szCs w:val="36"/>
        </w:rPr>
        <w:t xml:space="preserve">: </w:t>
      </w:r>
      <w:r w:rsidR="00F13832" w:rsidRPr="00865359">
        <w:rPr>
          <w:rFonts w:ascii="InfoTextPro" w:eastAsiaTheme="majorEastAsia" w:hAnsi="InfoTextPro" w:cs="InfoTextPro"/>
          <w:b/>
          <w:color w:val="38647C"/>
          <w:sz w:val="36"/>
          <w:szCs w:val="36"/>
        </w:rPr>
        <w:t xml:space="preserve">Signpost </w:t>
      </w:r>
      <w:r w:rsidR="001E052E" w:rsidRPr="00865359">
        <w:rPr>
          <w:rFonts w:ascii="InfoTextPro" w:hAnsi="InfoTextPro" w:cs="InfoTextPro"/>
          <w:b/>
          <w:color w:val="38647C"/>
          <w:sz w:val="36"/>
          <w:szCs w:val="36"/>
        </w:rPr>
        <w:t>Key Resource</w:t>
      </w:r>
      <w:r w:rsidR="00C922E6" w:rsidRPr="00865359">
        <w:rPr>
          <w:rFonts w:ascii="InfoTextPro" w:hAnsi="InfoTextPro" w:cs="InfoTextPro"/>
          <w:b/>
          <w:color w:val="38647C"/>
          <w:sz w:val="36"/>
          <w:szCs w:val="36"/>
        </w:rPr>
        <w:t>s</w:t>
      </w:r>
      <w:r w:rsidR="001B3ED1" w:rsidRPr="00865359">
        <w:rPr>
          <w:rFonts w:ascii="InfoTextPro" w:hAnsi="InfoTextPro" w:cs="InfoTextPro"/>
          <w:b/>
          <w:color w:val="38647C"/>
          <w:sz w:val="36"/>
          <w:szCs w:val="36"/>
        </w:rPr>
        <w:t xml:space="preserve"> for Children and Families</w:t>
      </w:r>
    </w:p>
    <w:p w14:paraId="3859033C" w14:textId="543FBA94" w:rsidR="00865359" w:rsidRDefault="00865359" w:rsidP="00865359">
      <w:pPr>
        <w:spacing w:after="0" w:line="240" w:lineRule="auto"/>
        <w:jc w:val="center"/>
        <w:rPr>
          <w:rFonts w:cstheme="minorHAnsi"/>
          <w:b/>
          <w:color w:val="38647C"/>
          <w:sz w:val="28"/>
        </w:rPr>
      </w:pPr>
    </w:p>
    <w:p w14:paraId="2A9DEE52" w14:textId="77777777" w:rsidR="00606127" w:rsidRDefault="00606127" w:rsidP="00865359">
      <w:pPr>
        <w:spacing w:after="0" w:line="240" w:lineRule="auto"/>
        <w:jc w:val="center"/>
        <w:rPr>
          <w:rFonts w:cstheme="minorHAnsi"/>
          <w:b/>
          <w:color w:val="38647C"/>
          <w:sz w:val="28"/>
        </w:rPr>
      </w:pPr>
    </w:p>
    <w:p w14:paraId="5E3061E4" w14:textId="2D3366F2" w:rsidR="00865359" w:rsidRPr="005A6095" w:rsidRDefault="00575650" w:rsidP="00606127">
      <w:pPr>
        <w:spacing w:after="0" w:line="240" w:lineRule="auto"/>
        <w:ind w:left="993"/>
        <w:rPr>
          <w:rFonts w:ascii="InfoTextPro" w:hAnsi="InfoTextPro" w:cs="InfoTextPro"/>
          <w:b/>
          <w:color w:val="38647C"/>
          <w:sz w:val="24"/>
          <w:szCs w:val="24"/>
        </w:rPr>
      </w:pPr>
      <w:hyperlink r:id="rId10" w:history="1">
        <w:r w:rsidR="00865359" w:rsidRPr="005A6095">
          <w:rPr>
            <w:rStyle w:val="Hyperlink"/>
            <w:rFonts w:ascii="InfoTextPro" w:hAnsi="InfoTextPro" w:cs="InfoTextPro"/>
            <w:b/>
            <w:color w:val="38647C"/>
            <w:sz w:val="24"/>
            <w:szCs w:val="24"/>
          </w:rPr>
          <w:t>Online learning package: Analysis and Critical Thinking in Assessment</w:t>
        </w:r>
      </w:hyperlink>
    </w:p>
    <w:p w14:paraId="01284FE8" w14:textId="06311668" w:rsidR="00865359" w:rsidRPr="005A6095" w:rsidRDefault="00606127" w:rsidP="00606127">
      <w:pPr>
        <w:spacing w:after="0" w:line="240" w:lineRule="auto"/>
        <w:ind w:left="993"/>
        <w:rPr>
          <w:rFonts w:ascii="InfoTextPro" w:hAnsi="InfoTextPro" w:cs="InfoTextPro"/>
        </w:rPr>
      </w:pPr>
      <w:r w:rsidRPr="00606127">
        <w:rPr>
          <w:rFonts w:ascii="InfoTextPro" w:hAnsi="InfoTextPro" w:cs="InfoTextPro"/>
          <w:b/>
          <w:color w:val="38647C"/>
          <w:sz w:val="36"/>
          <w:szCs w:val="36"/>
        </w:rPr>
        <w:drawing>
          <wp:anchor distT="0" distB="0" distL="114300" distR="114300" simplePos="0" relativeHeight="251723264" behindDoc="1" locked="0" layoutInCell="1" allowOverlap="1" wp14:anchorId="4BBADBEF" wp14:editId="6221647F">
            <wp:simplePos x="0" y="0"/>
            <wp:positionH relativeFrom="column">
              <wp:posOffset>-381000</wp:posOffset>
            </wp:positionH>
            <wp:positionV relativeFrom="paragraph">
              <wp:posOffset>257810</wp:posOffset>
            </wp:positionV>
            <wp:extent cx="737870" cy="737870"/>
            <wp:effectExtent l="0" t="0" r="0" b="0"/>
            <wp:wrapTight wrapText="bothSides">
              <wp:wrapPolygon edited="0">
                <wp:start x="0" y="0"/>
                <wp:lineTo x="0" y="21191"/>
                <wp:lineTo x="21191" y="21191"/>
                <wp:lineTo x="211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8239.jpg"/>
                    <pic:cNvPicPr/>
                  </pic:nvPicPr>
                  <pic:blipFill>
                    <a:blip r:embed="rId11">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14:sizeRelH relativeFrom="page">
              <wp14:pctWidth>0</wp14:pctWidth>
            </wp14:sizeRelH>
            <wp14:sizeRelV relativeFrom="page">
              <wp14:pctHeight>0</wp14:pctHeight>
            </wp14:sizeRelV>
          </wp:anchor>
        </w:drawing>
      </w:r>
      <w:r w:rsidR="00865359" w:rsidRPr="005A6095">
        <w:rPr>
          <w:rFonts w:ascii="InfoTextPro" w:hAnsi="InfoTextPro" w:cs="InfoTextPro"/>
        </w:rPr>
        <w:t xml:space="preserve">This </w:t>
      </w:r>
      <w:hyperlink r:id="rId12" w:history="1">
        <w:r w:rsidR="00865359" w:rsidRPr="005A6095">
          <w:rPr>
            <w:rStyle w:val="Hyperlink"/>
            <w:rFonts w:ascii="InfoTextPro" w:hAnsi="InfoTextPro" w:cs="InfoTextPro"/>
            <w:b/>
            <w:color w:val="38647C"/>
          </w:rPr>
          <w:t>online learning package</w:t>
        </w:r>
      </w:hyperlink>
      <w:r w:rsidR="00865359" w:rsidRPr="005A6095">
        <w:rPr>
          <w:rFonts w:ascii="InfoTextPro" w:hAnsi="InfoTextPro" w:cs="InfoTextPro"/>
        </w:rPr>
        <w:t xml:space="preserve"> will support you to build analysis and critical thinking into assessments through tools, techniques, and reflection.</w:t>
      </w:r>
    </w:p>
    <w:p w14:paraId="028E363A" w14:textId="77777777" w:rsidR="00865359" w:rsidRPr="005A6095" w:rsidRDefault="00865359" w:rsidP="00606127">
      <w:pPr>
        <w:spacing w:after="0" w:line="240" w:lineRule="auto"/>
        <w:ind w:left="993"/>
        <w:rPr>
          <w:rFonts w:ascii="InfoTextPro" w:hAnsi="InfoTextPro" w:cs="InfoTextPro"/>
          <w:b/>
          <w:color w:val="38647C"/>
        </w:rPr>
      </w:pPr>
      <w:r w:rsidRPr="005A6095">
        <w:rPr>
          <w:rFonts w:ascii="InfoTextPro" w:hAnsi="InfoTextPro" w:cs="InfoTextPro"/>
          <w:b/>
          <w:color w:val="38647C"/>
        </w:rPr>
        <w:t>Film 1: What does a good assessment look like?</w:t>
      </w:r>
    </w:p>
    <w:p w14:paraId="24C2F25D" w14:textId="77777777" w:rsidR="00865359" w:rsidRPr="005A6095" w:rsidRDefault="00865359" w:rsidP="00606127">
      <w:pPr>
        <w:spacing w:after="0" w:line="240" w:lineRule="auto"/>
        <w:ind w:left="993"/>
        <w:rPr>
          <w:rFonts w:ascii="InfoTextPro" w:hAnsi="InfoTextPro" w:cs="InfoTextPro"/>
          <w:b/>
          <w:color w:val="38647C"/>
        </w:rPr>
      </w:pPr>
      <w:r w:rsidRPr="005A6095">
        <w:rPr>
          <w:rFonts w:ascii="InfoTextPro" w:hAnsi="InfoTextPro" w:cs="InfoTextPro"/>
          <w:b/>
          <w:color w:val="38647C"/>
        </w:rPr>
        <w:t>Film 2: Thinking processes in practice</w:t>
      </w:r>
    </w:p>
    <w:p w14:paraId="65D8ADF6" w14:textId="35B316E6" w:rsidR="00865359" w:rsidRPr="005A6095" w:rsidRDefault="00865359" w:rsidP="00606127">
      <w:pPr>
        <w:spacing w:after="0" w:line="240" w:lineRule="auto"/>
        <w:ind w:left="993"/>
        <w:rPr>
          <w:rFonts w:ascii="InfoTextPro" w:hAnsi="InfoTextPro" w:cs="InfoTextPro"/>
          <w:b/>
          <w:color w:val="38647C"/>
        </w:rPr>
      </w:pPr>
      <w:r w:rsidRPr="005A6095">
        <w:rPr>
          <w:rFonts w:ascii="InfoTextPro" w:hAnsi="InfoTextPro" w:cs="InfoTextPro"/>
          <w:b/>
          <w:color w:val="38647C"/>
        </w:rPr>
        <w:t>Film 3: The Anchor Principles</w:t>
      </w:r>
    </w:p>
    <w:p w14:paraId="4496B58F" w14:textId="77777777" w:rsidR="00865359" w:rsidRPr="005A6095" w:rsidRDefault="00865359" w:rsidP="00606127">
      <w:pPr>
        <w:spacing w:after="0" w:line="240" w:lineRule="auto"/>
        <w:ind w:left="993"/>
        <w:rPr>
          <w:rFonts w:ascii="InfoTextPro" w:hAnsi="InfoTextPro" w:cs="InfoTextPro"/>
          <w:b/>
          <w:color w:val="38647C"/>
        </w:rPr>
      </w:pPr>
      <w:r w:rsidRPr="005A6095">
        <w:rPr>
          <w:rFonts w:ascii="InfoTextPro" w:hAnsi="InfoTextPro" w:cs="InfoTextPro"/>
          <w:b/>
          <w:color w:val="38647C"/>
        </w:rPr>
        <w:t>Film 4: Support and resources</w:t>
      </w:r>
    </w:p>
    <w:p w14:paraId="4A15AD7F" w14:textId="223CC7E4" w:rsidR="00CE7825" w:rsidRDefault="00CE7825" w:rsidP="00606127">
      <w:pPr>
        <w:spacing w:after="0" w:line="240" w:lineRule="auto"/>
        <w:ind w:left="993"/>
      </w:pPr>
    </w:p>
    <w:p w14:paraId="45BFE8CD" w14:textId="57881F0C" w:rsidR="00865359" w:rsidRDefault="00865359" w:rsidP="00606127">
      <w:pPr>
        <w:spacing w:after="0" w:line="240" w:lineRule="auto"/>
        <w:ind w:left="993"/>
      </w:pPr>
    </w:p>
    <w:p w14:paraId="3CADB129" w14:textId="30F30FA0" w:rsidR="00CE7825" w:rsidRPr="00865359" w:rsidRDefault="00575650" w:rsidP="00606127">
      <w:pPr>
        <w:spacing w:after="0" w:line="240" w:lineRule="auto"/>
        <w:ind w:left="993"/>
        <w:rPr>
          <w:rStyle w:val="Hyperlink"/>
          <w:rFonts w:ascii="InfoTextPro" w:hAnsi="InfoTextPro" w:cs="InfoTextPro"/>
          <w:color w:val="38647C"/>
          <w:sz w:val="24"/>
          <w:szCs w:val="24"/>
        </w:rPr>
      </w:pPr>
      <w:hyperlink r:id="rId13" w:history="1">
        <w:r w:rsidR="00D64825" w:rsidRPr="00865359">
          <w:rPr>
            <w:rStyle w:val="Hyperlink"/>
            <w:rFonts w:ascii="InfoTextPro" w:hAnsi="InfoTextPro" w:cs="InfoTextPro"/>
            <w:b/>
            <w:color w:val="38647C"/>
            <w:sz w:val="24"/>
            <w:szCs w:val="24"/>
          </w:rPr>
          <w:t>Handbook: Analysis and Critical Thinking in Assessment</w:t>
        </w:r>
      </w:hyperlink>
    </w:p>
    <w:p w14:paraId="31C4BD7D" w14:textId="77AB37D3" w:rsidR="003E2DE3" w:rsidRPr="00865359" w:rsidRDefault="00157FD9" w:rsidP="00606127">
      <w:pPr>
        <w:spacing w:after="0" w:line="240" w:lineRule="auto"/>
        <w:ind w:left="993"/>
        <w:rPr>
          <w:rFonts w:ascii="InfoTextPro" w:hAnsi="InfoTextPro" w:cs="InfoTextPro"/>
          <w:b/>
        </w:rPr>
      </w:pPr>
      <w:bookmarkStart w:id="0" w:name="_GoBack"/>
      <w:r w:rsidRPr="00606127">
        <w:rPr>
          <w:rFonts w:ascii="InfoTextPro" w:hAnsi="InfoTextPro" w:cs="InfoTextPro"/>
          <w:b/>
          <w:color w:val="38647C"/>
          <w:sz w:val="36"/>
          <w:szCs w:val="36"/>
        </w:rPr>
        <w:drawing>
          <wp:anchor distT="0" distB="0" distL="114300" distR="114300" simplePos="0" relativeHeight="251699712" behindDoc="1" locked="0" layoutInCell="1" allowOverlap="1" wp14:anchorId="547BC50C" wp14:editId="5482FCBC">
            <wp:simplePos x="0" y="0"/>
            <wp:positionH relativeFrom="column">
              <wp:posOffset>-393700</wp:posOffset>
            </wp:positionH>
            <wp:positionV relativeFrom="paragraph">
              <wp:posOffset>352425</wp:posOffset>
            </wp:positionV>
            <wp:extent cx="719455" cy="719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_workbook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bookmarkEnd w:id="0"/>
      <w:r w:rsidR="006F62C7" w:rsidRPr="00865359">
        <w:rPr>
          <w:rFonts w:ascii="InfoTextPro" w:hAnsi="InfoTextPro" w:cs="InfoTextPro"/>
        </w:rPr>
        <w:t>Ana</w:t>
      </w:r>
      <w:r w:rsidR="00865359" w:rsidRPr="00865359">
        <w:rPr>
          <w:rFonts w:ascii="InfoTextPro" w:hAnsi="InfoTextPro" w:cs="InfoTextPro"/>
        </w:rPr>
        <w:t>l</w:t>
      </w:r>
      <w:r w:rsidR="006F62C7" w:rsidRPr="00865359">
        <w:rPr>
          <w:rFonts w:ascii="InfoTextPro" w:hAnsi="InfoTextPro" w:cs="InfoTextPro"/>
        </w:rPr>
        <w:t xml:space="preserve">ysis and critical thinking in assessment has consistently been highlighted as a concern in inspection reports, family court proceedings, serious case reviews (SCRs) and inquiries into child deaths. Good-quality assessment is a vital element of work with children and families, whether at the early stages of considering if a child has additional needs or proceeding with a complex child protection inquiry. </w:t>
      </w:r>
      <w:r w:rsidR="00C97791" w:rsidRPr="00865359">
        <w:rPr>
          <w:rFonts w:ascii="InfoTextPro" w:hAnsi="InfoTextPro" w:cs="InfoTextPro"/>
        </w:rPr>
        <w:t>This focuses</w:t>
      </w:r>
      <w:r w:rsidR="006F62C7" w:rsidRPr="00865359">
        <w:rPr>
          <w:rFonts w:ascii="InfoTextPro" w:hAnsi="InfoTextPro" w:cs="InfoTextPro"/>
        </w:rPr>
        <w:t xml:space="preserve"> on the skills associated with analysis and critical thinking, rather than the more procedural aspects of assessment, to ensure that analytical thinking is at the heart of practice.</w:t>
      </w:r>
    </w:p>
    <w:p w14:paraId="4F79654A" w14:textId="77777777" w:rsidR="00606127" w:rsidRDefault="00606127" w:rsidP="00606127">
      <w:pPr>
        <w:spacing w:after="0" w:line="240" w:lineRule="auto"/>
        <w:ind w:left="993"/>
        <w:rPr>
          <w:rFonts w:cstheme="minorHAnsi"/>
          <w:b/>
        </w:rPr>
      </w:pPr>
    </w:p>
    <w:p w14:paraId="63A62812" w14:textId="334B2DDC" w:rsidR="00C97791" w:rsidRDefault="00606127" w:rsidP="00606127">
      <w:pPr>
        <w:spacing w:after="0" w:line="240" w:lineRule="auto"/>
        <w:ind w:left="993"/>
        <w:rPr>
          <w:rFonts w:cstheme="minorHAnsi"/>
          <w:b/>
        </w:rPr>
      </w:pPr>
      <w:r w:rsidRPr="00606127">
        <w:rPr>
          <w:rFonts w:ascii="InfoTextPro" w:hAnsi="InfoTextPro" w:cs="InfoTextPro"/>
          <w:b/>
          <w:color w:val="38647C"/>
          <w:sz w:val="36"/>
          <w:szCs w:val="36"/>
        </w:rPr>
        <w:drawing>
          <wp:anchor distT="0" distB="0" distL="114300" distR="114300" simplePos="0" relativeHeight="251622912" behindDoc="0" locked="0" layoutInCell="1" allowOverlap="1" wp14:anchorId="6F3E7935" wp14:editId="5EC1456D">
            <wp:simplePos x="0" y="0"/>
            <wp:positionH relativeFrom="margin">
              <wp:posOffset>-382905</wp:posOffset>
            </wp:positionH>
            <wp:positionV relativeFrom="paragraph">
              <wp:posOffset>223520</wp:posOffset>
            </wp:positionV>
            <wp:extent cx="734060" cy="734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243.jpg"/>
                    <pic:cNvPicPr/>
                  </pic:nvPicPr>
                  <pic:blipFill>
                    <a:blip r:embed="rId15">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14:sizeRelH relativeFrom="page">
              <wp14:pctWidth>0</wp14:pctWidth>
            </wp14:sizeRelH>
            <wp14:sizeRelV relativeFrom="page">
              <wp14:pctHeight>0</wp14:pctHeight>
            </wp14:sizeRelV>
          </wp:anchor>
        </w:drawing>
      </w:r>
    </w:p>
    <w:p w14:paraId="1D5AC46B" w14:textId="12FA9C4F" w:rsidR="00052930" w:rsidRPr="00BB1ACC" w:rsidRDefault="00575650" w:rsidP="00606127">
      <w:pPr>
        <w:spacing w:after="0" w:line="240" w:lineRule="auto"/>
        <w:ind w:left="993"/>
        <w:rPr>
          <w:rFonts w:ascii="InfoTextPro" w:hAnsi="InfoTextPro" w:cs="InfoTextPro"/>
          <w:b/>
          <w:color w:val="38647C"/>
          <w:sz w:val="24"/>
          <w:szCs w:val="24"/>
        </w:rPr>
      </w:pPr>
      <w:hyperlink r:id="rId16" w:history="1">
        <w:r w:rsidR="00052930" w:rsidRPr="00BB1ACC">
          <w:rPr>
            <w:rStyle w:val="Hyperlink"/>
            <w:rFonts w:ascii="InfoTextPro" w:hAnsi="InfoTextPro" w:cs="InfoTextPro"/>
            <w:b/>
            <w:color w:val="38647C"/>
            <w:sz w:val="24"/>
            <w:szCs w:val="24"/>
          </w:rPr>
          <w:t>Critically reflective practice: making sense of uncertainty (webinar)</w:t>
        </w:r>
      </w:hyperlink>
      <w:r w:rsidR="00052930" w:rsidRPr="00BB1ACC">
        <w:rPr>
          <w:rFonts w:ascii="InfoTextPro" w:hAnsi="InfoTextPro" w:cs="InfoTextPro"/>
          <w:b/>
          <w:color w:val="38647C"/>
          <w:sz w:val="24"/>
          <w:szCs w:val="24"/>
        </w:rPr>
        <w:t xml:space="preserve"> </w:t>
      </w:r>
    </w:p>
    <w:p w14:paraId="3E2E046E" w14:textId="77777777" w:rsidR="00052930" w:rsidRPr="005A6095" w:rsidRDefault="00052930" w:rsidP="00606127">
      <w:pPr>
        <w:spacing w:after="0" w:line="240" w:lineRule="auto"/>
        <w:ind w:left="993"/>
        <w:rPr>
          <w:rFonts w:ascii="InfoTextPro" w:hAnsi="InfoTextPro" w:cs="InfoTextPro"/>
        </w:rPr>
      </w:pPr>
      <w:r w:rsidRPr="005A6095">
        <w:rPr>
          <w:rFonts w:ascii="InfoTextPro" w:hAnsi="InfoTextPro" w:cs="InfoTextPro"/>
          <w:b/>
        </w:rPr>
        <w:t>T</w:t>
      </w:r>
      <w:r w:rsidRPr="005A6095">
        <w:rPr>
          <w:rFonts w:ascii="InfoTextPro" w:hAnsi="InfoTextPro" w:cs="InfoTextPro"/>
        </w:rPr>
        <w:t xml:space="preserve">his </w:t>
      </w:r>
      <w:r>
        <w:rPr>
          <w:rFonts w:ascii="InfoTextPro" w:hAnsi="InfoTextPro" w:cs="InfoTextPro"/>
        </w:rPr>
        <w:t xml:space="preserve">1 hour </w:t>
      </w:r>
      <w:r w:rsidRPr="005A6095">
        <w:rPr>
          <w:rFonts w:ascii="InfoTextPro" w:hAnsi="InfoTextPro" w:cs="InfoTextPro"/>
        </w:rPr>
        <w:t>webinar aims to support practitioners to recognise the support they need from supervisors and leaders in order to engage in reflective practice and develop strategies to support the development of their own reflective practice skills.</w:t>
      </w:r>
    </w:p>
    <w:p w14:paraId="1C22BBAC" w14:textId="5F5987F5" w:rsidR="00C97791" w:rsidRDefault="00C97791" w:rsidP="00606127">
      <w:pPr>
        <w:spacing w:after="0" w:line="240" w:lineRule="auto"/>
        <w:ind w:left="993"/>
      </w:pPr>
    </w:p>
    <w:p w14:paraId="3DD9EC28" w14:textId="08C1B7CB" w:rsidR="00606127" w:rsidRDefault="00606127" w:rsidP="00606127">
      <w:pPr>
        <w:spacing w:after="0" w:line="240" w:lineRule="auto"/>
        <w:ind w:left="993"/>
      </w:pPr>
      <w:r w:rsidRPr="00606127">
        <w:rPr>
          <w:rFonts w:ascii="InfoTextPro" w:hAnsi="InfoTextPro" w:cs="InfoTextPro"/>
          <w:b/>
          <w:color w:val="38647C"/>
          <w:sz w:val="36"/>
          <w:szCs w:val="36"/>
        </w:rPr>
        <w:drawing>
          <wp:anchor distT="0" distB="0" distL="114300" distR="114300" simplePos="0" relativeHeight="251660800" behindDoc="1" locked="0" layoutInCell="1" allowOverlap="1" wp14:anchorId="4949E60D" wp14:editId="2D8D6916">
            <wp:simplePos x="0" y="0"/>
            <wp:positionH relativeFrom="column">
              <wp:posOffset>-366395</wp:posOffset>
            </wp:positionH>
            <wp:positionV relativeFrom="page">
              <wp:posOffset>5963285</wp:posOffset>
            </wp:positionV>
            <wp:extent cx="719455" cy="719455"/>
            <wp:effectExtent l="0" t="0" r="0" b="0"/>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_film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08F1729B" w14:textId="0528BBF9" w:rsidR="00052930" w:rsidRDefault="00575650" w:rsidP="00606127">
      <w:pPr>
        <w:spacing w:after="0" w:line="240" w:lineRule="auto"/>
        <w:ind w:left="993"/>
        <w:rPr>
          <w:rFonts w:cstheme="minorHAnsi"/>
          <w:bCs/>
        </w:rPr>
      </w:pPr>
      <w:hyperlink r:id="rId18" w:history="1">
        <w:r w:rsidR="001B3ED1" w:rsidRPr="00052930">
          <w:rPr>
            <w:rStyle w:val="Hyperlink"/>
            <w:rFonts w:ascii="InfoTextPro" w:hAnsi="InfoTextPro" w:cs="InfoTextPro"/>
            <w:b/>
            <w:color w:val="38647C"/>
            <w:sz w:val="24"/>
            <w:szCs w:val="24"/>
          </w:rPr>
          <w:t>Complexity and Challenge: triennial analysis of Serious Case Reviews (SCRs)</w:t>
        </w:r>
      </w:hyperlink>
      <w:r w:rsidR="001B3ED1" w:rsidRPr="00052930">
        <w:rPr>
          <w:rStyle w:val="Hyperlink"/>
          <w:rFonts w:ascii="InfoTextPro" w:hAnsi="InfoTextPro" w:cs="InfoTextPro"/>
          <w:color w:val="38647C"/>
          <w:sz w:val="24"/>
          <w:szCs w:val="24"/>
        </w:rPr>
        <w:t xml:space="preserve"> </w:t>
      </w:r>
    </w:p>
    <w:p w14:paraId="65FE30BC" w14:textId="31C65A2F" w:rsidR="00C97791" w:rsidRDefault="001B3ED1" w:rsidP="00606127">
      <w:pPr>
        <w:spacing w:after="0" w:line="240" w:lineRule="auto"/>
        <w:ind w:left="993"/>
        <w:rPr>
          <w:rFonts w:ascii="InfoTextPro" w:hAnsi="InfoTextPro" w:cs="InfoTextPro"/>
        </w:rPr>
      </w:pPr>
      <w:r w:rsidRPr="00052930">
        <w:rPr>
          <w:rFonts w:ascii="InfoTextPro" w:hAnsi="InfoTextPro" w:cs="InfoTextPro"/>
        </w:rPr>
        <w:t>Research in Practice website brings together webinars, reports and videos to support your learning from the Serious Case Reviews 2014-2017 (published 2020). The material not only supports social care, but health, early help, the police, and education.</w:t>
      </w:r>
    </w:p>
    <w:p w14:paraId="3236057B" w14:textId="77777777" w:rsidR="00F2107A" w:rsidRDefault="00F2107A" w:rsidP="00606127">
      <w:pPr>
        <w:spacing w:after="0" w:line="240" w:lineRule="auto"/>
        <w:ind w:left="993"/>
        <w:rPr>
          <w:rFonts w:cstheme="minorHAnsi"/>
          <w:bCs/>
        </w:rPr>
      </w:pPr>
    </w:p>
    <w:p w14:paraId="25054F67" w14:textId="77777777" w:rsidR="00606127" w:rsidRDefault="00606127" w:rsidP="00606127">
      <w:pPr>
        <w:spacing w:after="0" w:line="240" w:lineRule="auto"/>
        <w:ind w:left="993"/>
        <w:rPr>
          <w:rFonts w:cstheme="minorHAnsi"/>
          <w:bCs/>
        </w:rPr>
      </w:pPr>
    </w:p>
    <w:p w14:paraId="308397D6" w14:textId="62218B7C" w:rsidR="00F2107A" w:rsidRDefault="00F2107A" w:rsidP="00606127">
      <w:pPr>
        <w:pStyle w:val="Heading1"/>
        <w:spacing w:before="0" w:beforeAutospacing="0" w:after="0" w:afterAutospacing="0"/>
        <w:ind w:left="993"/>
        <w:rPr>
          <w:rFonts w:ascii="InfoTextPro" w:hAnsi="InfoTextPro" w:cs="InfoTextPro"/>
          <w:bCs w:val="0"/>
          <w:color w:val="38647C"/>
          <w:sz w:val="24"/>
          <w:szCs w:val="24"/>
        </w:rPr>
      </w:pPr>
      <w:r>
        <w:rPr>
          <w:rFonts w:ascii="InfoTextPro" w:hAnsi="InfoTextPro" w:cs="InfoTextPro"/>
          <w:bCs w:val="0"/>
          <w:color w:val="38647C"/>
          <w:sz w:val="24"/>
          <w:szCs w:val="24"/>
        </w:rPr>
        <w:t>Quick reads</w:t>
      </w:r>
    </w:p>
    <w:p w14:paraId="1A8C84BA" w14:textId="68135B03" w:rsidR="001B3ED1" w:rsidRPr="00F2107A" w:rsidRDefault="00575650" w:rsidP="00606127">
      <w:pPr>
        <w:pStyle w:val="Heading1"/>
        <w:spacing w:before="0" w:beforeAutospacing="0" w:after="0" w:afterAutospacing="0"/>
        <w:ind w:left="993"/>
        <w:rPr>
          <w:rFonts w:ascii="InfoTextPro" w:hAnsi="InfoTextPro" w:cs="InfoTextPro"/>
          <w:color w:val="38647C"/>
          <w:sz w:val="22"/>
          <w:szCs w:val="22"/>
        </w:rPr>
      </w:pPr>
      <w:hyperlink r:id="rId19" w:history="1">
        <w:r w:rsidR="00F2107A">
          <w:rPr>
            <w:rStyle w:val="Hyperlink"/>
            <w:rFonts w:ascii="InfoTextPro" w:hAnsi="InfoTextPro" w:cs="InfoTextPro"/>
            <w:b w:val="0"/>
            <w:bCs w:val="0"/>
            <w:color w:val="38647C"/>
            <w:sz w:val="22"/>
            <w:szCs w:val="22"/>
          </w:rPr>
          <w:t>CAFCASS ‘Peer Practice Specialists’: sharing expertise to understand unique and diverse needs of children and families</w:t>
        </w:r>
      </w:hyperlink>
      <w:r w:rsidR="001B3ED1" w:rsidRPr="00F2107A">
        <w:rPr>
          <w:rFonts w:ascii="InfoTextPro" w:hAnsi="InfoTextPro" w:cs="InfoTextPro"/>
          <w:b w:val="0"/>
          <w:bCs w:val="0"/>
          <w:color w:val="38647C"/>
          <w:sz w:val="22"/>
          <w:szCs w:val="22"/>
        </w:rPr>
        <w:t xml:space="preserve">; </w:t>
      </w:r>
      <w:hyperlink r:id="rId20" w:history="1">
        <w:r w:rsidR="001B3ED1" w:rsidRPr="00F2107A">
          <w:rPr>
            <w:rStyle w:val="Hyperlink"/>
            <w:rFonts w:ascii="InfoTextPro" w:hAnsi="InfoTextPro" w:cs="InfoTextPro"/>
            <w:b w:val="0"/>
            <w:bCs w:val="0"/>
            <w:color w:val="38647C"/>
            <w:sz w:val="22"/>
            <w:szCs w:val="22"/>
          </w:rPr>
          <w:t>What does good audit and practice look like when so much is uncertain?</w:t>
        </w:r>
      </w:hyperlink>
      <w:r w:rsidR="0097320D" w:rsidRPr="00F2107A">
        <w:rPr>
          <w:rFonts w:ascii="InfoTextPro" w:hAnsi="InfoTextPro" w:cs="InfoTextPro"/>
          <w:b w:val="0"/>
          <w:bCs w:val="0"/>
          <w:color w:val="38647C"/>
          <w:sz w:val="22"/>
          <w:szCs w:val="22"/>
        </w:rPr>
        <w:t xml:space="preserve">; </w:t>
      </w:r>
      <w:hyperlink r:id="rId21" w:history="1">
        <w:r w:rsidR="0097320D" w:rsidRPr="00F2107A">
          <w:rPr>
            <w:rStyle w:val="Hyperlink"/>
            <w:rFonts w:ascii="InfoTextPro" w:hAnsi="InfoTextPro" w:cs="InfoTextPro"/>
            <w:b w:val="0"/>
            <w:bCs w:val="0"/>
            <w:color w:val="38647C"/>
            <w:sz w:val="22"/>
            <w:szCs w:val="22"/>
          </w:rPr>
          <w:t>Reflections on child protection post-pandemic</w:t>
        </w:r>
      </w:hyperlink>
      <w:r w:rsidR="001B3ED1" w:rsidRPr="00F2107A">
        <w:rPr>
          <w:rFonts w:ascii="InfoTextPro" w:hAnsi="InfoTextPro" w:cs="InfoTextPro"/>
          <w:b w:val="0"/>
          <w:bCs w:val="0"/>
          <w:color w:val="38647C"/>
          <w:sz w:val="22"/>
          <w:szCs w:val="22"/>
        </w:rPr>
        <w:t xml:space="preserve"> </w:t>
      </w:r>
    </w:p>
    <w:p w14:paraId="31B86880" w14:textId="4997812B" w:rsidR="001B3ED1" w:rsidRPr="001B3ED1" w:rsidRDefault="001B3ED1" w:rsidP="00606127">
      <w:pPr>
        <w:spacing w:after="0" w:line="240" w:lineRule="auto"/>
        <w:ind w:left="993"/>
        <w:rPr>
          <w:rFonts w:cstheme="minorHAnsi"/>
          <w:b/>
        </w:rPr>
      </w:pPr>
    </w:p>
    <w:p w14:paraId="1C1106A1" w14:textId="77777777" w:rsidR="00F2107A" w:rsidRPr="00F2107A" w:rsidRDefault="00F2107A" w:rsidP="00F2107A">
      <w:pPr>
        <w:spacing w:after="0" w:line="240" w:lineRule="auto"/>
        <w:rPr>
          <w:rFonts w:ascii="InfoTextPro" w:hAnsi="InfoTextPro" w:cs="InfoTextPro"/>
        </w:rPr>
      </w:pPr>
    </w:p>
    <w:tbl>
      <w:tblPr>
        <w:tblW w:w="9889" w:type="dxa"/>
        <w:tblInd w:w="-318" w:type="dxa"/>
        <w:tblBorders>
          <w:top w:val="single" w:sz="24" w:space="0" w:color="38647C"/>
          <w:left w:val="single" w:sz="24" w:space="0" w:color="38647C"/>
          <w:bottom w:val="single" w:sz="24" w:space="0" w:color="38647C"/>
          <w:right w:val="single" w:sz="24" w:space="0" w:color="38647C"/>
          <w:insideH w:val="single" w:sz="24" w:space="0" w:color="38647C"/>
          <w:insideV w:val="single" w:sz="24" w:space="0" w:color="38647C"/>
        </w:tblBorders>
        <w:tblCellMar>
          <w:left w:w="0" w:type="dxa"/>
          <w:right w:w="0" w:type="dxa"/>
        </w:tblCellMar>
        <w:tblLook w:val="04A0" w:firstRow="1" w:lastRow="0" w:firstColumn="1" w:lastColumn="0" w:noHBand="0" w:noVBand="1"/>
      </w:tblPr>
      <w:tblGrid>
        <w:gridCol w:w="9889"/>
      </w:tblGrid>
      <w:tr w:rsidR="00F2107A" w:rsidRPr="00F2107A" w14:paraId="06987F4D" w14:textId="77777777" w:rsidTr="00EC76C0">
        <w:trPr>
          <w:trHeight w:val="1472"/>
        </w:trPr>
        <w:tc>
          <w:tcPr>
            <w:tcW w:w="9889" w:type="dxa"/>
            <w:tcMar>
              <w:top w:w="0" w:type="dxa"/>
              <w:left w:w="108" w:type="dxa"/>
              <w:bottom w:w="0" w:type="dxa"/>
              <w:right w:w="108" w:type="dxa"/>
            </w:tcMar>
          </w:tcPr>
          <w:p w14:paraId="54381C30" w14:textId="77777777" w:rsidR="00F2107A" w:rsidRPr="00F2107A" w:rsidRDefault="00F2107A" w:rsidP="00F2107A">
            <w:pPr>
              <w:spacing w:after="0" w:line="240" w:lineRule="auto"/>
              <w:jc w:val="center"/>
              <w:rPr>
                <w:rFonts w:ascii="InfoTextPro" w:hAnsi="InfoTextPro" w:cs="InfoTextPro"/>
                <w:color w:val="000000"/>
              </w:rPr>
            </w:pPr>
          </w:p>
          <w:p w14:paraId="079E4524" w14:textId="77777777" w:rsidR="00F2107A" w:rsidRPr="00F2107A" w:rsidRDefault="00F2107A" w:rsidP="00F2107A">
            <w:pPr>
              <w:spacing w:after="0" w:line="240" w:lineRule="auto"/>
              <w:jc w:val="center"/>
              <w:rPr>
                <w:rFonts w:ascii="InfoTextPro" w:hAnsi="InfoTextPro" w:cs="InfoTextPro"/>
                <w:color w:val="212121"/>
                <w:sz w:val="24"/>
                <w:szCs w:val="24"/>
              </w:rPr>
            </w:pPr>
            <w:r w:rsidRPr="00F2107A">
              <w:rPr>
                <w:rFonts w:ascii="InfoTextPro" w:hAnsi="InfoTextPro" w:cs="InfoTextPro"/>
                <w:color w:val="000000"/>
                <w:sz w:val="24"/>
                <w:szCs w:val="24"/>
              </w:rPr>
              <w:t xml:space="preserve">This is a selection of Research in Practice resources on this topic. You need to be logged in to a Research in Practice account to access the resources via the links in this document. </w:t>
            </w:r>
            <w:hyperlink r:id="rId22" w:history="1">
              <w:r w:rsidRPr="00F2107A">
                <w:rPr>
                  <w:rFonts w:ascii="InfoTextPro" w:hAnsi="InfoTextPro" w:cs="InfoTextPro"/>
                  <w:color w:val="38647C"/>
                  <w:sz w:val="24"/>
                  <w:szCs w:val="24"/>
                  <w:u w:val="single"/>
                </w:rPr>
                <w:t>Log in here</w:t>
              </w:r>
            </w:hyperlink>
            <w:r w:rsidRPr="00F2107A">
              <w:rPr>
                <w:rFonts w:ascii="InfoTextPro" w:hAnsi="InfoTextPro" w:cs="InfoTextPro"/>
                <w:bCs/>
                <w:color w:val="000000"/>
                <w:sz w:val="24"/>
                <w:szCs w:val="24"/>
              </w:rPr>
              <w:t xml:space="preserve"> if you have an account already, or </w:t>
            </w:r>
            <w:hyperlink r:id="rId23" w:history="1">
              <w:r w:rsidRPr="00F2107A">
                <w:rPr>
                  <w:rFonts w:ascii="InfoTextPro" w:hAnsi="InfoTextPro" w:cs="InfoTextPro"/>
                  <w:color w:val="38647C"/>
                  <w:sz w:val="24"/>
                  <w:szCs w:val="24"/>
                  <w:u w:val="single"/>
                </w:rPr>
                <w:t>create one here</w:t>
              </w:r>
            </w:hyperlink>
            <w:r w:rsidRPr="00F2107A">
              <w:rPr>
                <w:rFonts w:ascii="InfoTextPro" w:hAnsi="InfoTextPro" w:cs="InfoTextPro"/>
                <w:color w:val="000000"/>
                <w:sz w:val="24"/>
                <w:szCs w:val="24"/>
              </w:rPr>
              <w:t>.</w:t>
            </w:r>
          </w:p>
          <w:p w14:paraId="5DCF388A" w14:textId="77777777" w:rsidR="00F2107A" w:rsidRPr="00F2107A" w:rsidRDefault="00F2107A" w:rsidP="00F2107A">
            <w:pPr>
              <w:spacing w:after="0" w:line="240" w:lineRule="auto"/>
              <w:rPr>
                <w:rFonts w:ascii="InfoTextPro" w:hAnsi="InfoTextPro" w:cs="InfoTextPro"/>
                <w:color w:val="38647C"/>
                <w:sz w:val="24"/>
                <w:szCs w:val="24"/>
              </w:rPr>
            </w:pPr>
            <w:r w:rsidRPr="00F2107A">
              <w:rPr>
                <w:rFonts w:ascii="InfoTextPro" w:hAnsi="InfoTextPro" w:cs="InfoTextPro"/>
                <w:color w:val="000000"/>
                <w:sz w:val="24"/>
                <w:szCs w:val="24"/>
              </w:rPr>
              <w:t xml:space="preserve">If you have any questions, please email </w:t>
            </w:r>
            <w:hyperlink r:id="rId24" w:history="1">
              <w:r w:rsidRPr="00F2107A">
                <w:rPr>
                  <w:rFonts w:ascii="InfoTextPro" w:hAnsi="InfoTextPro" w:cs="InfoTextPro"/>
                  <w:color w:val="38647C"/>
                  <w:sz w:val="24"/>
                  <w:szCs w:val="24"/>
                  <w:u w:val="single"/>
                </w:rPr>
                <w:t>ask@researchinpractice.org.uk</w:t>
              </w:r>
            </w:hyperlink>
            <w:r w:rsidRPr="00F2107A">
              <w:rPr>
                <w:rFonts w:ascii="InfoTextPro" w:hAnsi="InfoTextPro" w:cs="InfoTextPro"/>
                <w:color w:val="38647C"/>
                <w:sz w:val="24"/>
                <w:szCs w:val="24"/>
              </w:rPr>
              <w:t xml:space="preserve"> </w:t>
            </w:r>
          </w:p>
          <w:p w14:paraId="71B8E464" w14:textId="77777777" w:rsidR="00F2107A" w:rsidRPr="00F2107A" w:rsidRDefault="00F2107A" w:rsidP="00F2107A">
            <w:pPr>
              <w:spacing w:after="0" w:line="240" w:lineRule="auto"/>
              <w:rPr>
                <w:rFonts w:ascii="InfoTextPro" w:hAnsi="InfoTextPro" w:cs="InfoTextPro"/>
                <w:color w:val="38647C"/>
                <w:sz w:val="24"/>
                <w:szCs w:val="24"/>
              </w:rPr>
            </w:pPr>
          </w:p>
          <w:p w14:paraId="5D1EBD7F" w14:textId="49850CD4" w:rsidR="00F2107A" w:rsidRPr="00F2107A" w:rsidRDefault="00F2107A" w:rsidP="00F2107A">
            <w:pPr>
              <w:spacing w:after="0" w:line="240" w:lineRule="auto"/>
              <w:jc w:val="center"/>
              <w:rPr>
                <w:rFonts w:ascii="InfoTextPro" w:hAnsi="InfoTextPro" w:cs="InfoTextPro"/>
                <w:bCs/>
                <w:color w:val="000000"/>
                <w:sz w:val="24"/>
                <w:szCs w:val="24"/>
              </w:rPr>
            </w:pPr>
            <w:r w:rsidRPr="00F2107A">
              <w:rPr>
                <w:rFonts w:ascii="InfoTextPro" w:hAnsi="InfoTextPro" w:cs="InfoTextPro"/>
                <w:bCs/>
                <w:color w:val="000000"/>
                <w:sz w:val="24"/>
                <w:szCs w:val="24"/>
              </w:rPr>
              <w:t xml:space="preserve">Don’t forget you can log what you read, watch or listen </w:t>
            </w:r>
            <w:r w:rsidR="004B5439">
              <w:rPr>
                <w:rFonts w:ascii="InfoTextPro" w:hAnsi="InfoTextPro" w:cs="InfoTextPro"/>
                <w:bCs/>
                <w:color w:val="000000"/>
                <w:sz w:val="24"/>
                <w:szCs w:val="24"/>
              </w:rPr>
              <w:t xml:space="preserve">to </w:t>
            </w:r>
            <w:r w:rsidRPr="00F2107A">
              <w:rPr>
                <w:rFonts w:ascii="InfoTextPro" w:hAnsi="InfoTextPro" w:cs="InfoTextPro"/>
                <w:bCs/>
                <w:color w:val="000000"/>
                <w:sz w:val="24"/>
                <w:szCs w:val="24"/>
              </w:rPr>
              <w:t xml:space="preserve">and record reflections on your </w:t>
            </w:r>
            <w:hyperlink r:id="rId25" w:history="1">
              <w:proofErr w:type="spellStart"/>
              <w:r w:rsidRPr="00F2107A">
                <w:rPr>
                  <w:rFonts w:ascii="InfoTextPro" w:hAnsi="InfoTextPro" w:cs="InfoTextPro"/>
                  <w:color w:val="38647C"/>
                  <w:sz w:val="24"/>
                  <w:szCs w:val="24"/>
                  <w:u w:val="single"/>
                </w:rPr>
                <w:t>MyCPD</w:t>
              </w:r>
              <w:proofErr w:type="spellEnd"/>
            </w:hyperlink>
            <w:r w:rsidRPr="00F2107A">
              <w:rPr>
                <w:rFonts w:ascii="InfoTextPro" w:hAnsi="InfoTextPro" w:cs="InfoTextPro"/>
                <w:color w:val="38647C"/>
                <w:sz w:val="24"/>
                <w:szCs w:val="24"/>
                <w:u w:val="single"/>
              </w:rPr>
              <w:t xml:space="preserve"> </w:t>
            </w:r>
            <w:r w:rsidRPr="00F2107A">
              <w:rPr>
                <w:rFonts w:ascii="InfoTextPro" w:hAnsi="InfoTextPro" w:cs="InfoTextPro"/>
                <w:bCs/>
                <w:color w:val="000000"/>
                <w:sz w:val="24"/>
                <w:szCs w:val="24"/>
              </w:rPr>
              <w:t xml:space="preserve">log using the button on each resource page. </w:t>
            </w:r>
          </w:p>
          <w:p w14:paraId="7F58A400" w14:textId="77777777" w:rsidR="00F2107A" w:rsidRPr="00F2107A" w:rsidRDefault="00F2107A" w:rsidP="00F2107A">
            <w:pPr>
              <w:spacing w:after="0" w:line="240" w:lineRule="auto"/>
              <w:jc w:val="center"/>
              <w:rPr>
                <w:rFonts w:ascii="InfoTextPro" w:hAnsi="InfoTextPro" w:cs="InfoTextPro"/>
                <w:color w:val="212121"/>
              </w:rPr>
            </w:pPr>
          </w:p>
        </w:tc>
      </w:tr>
    </w:tbl>
    <w:p w14:paraId="5E327A7F" w14:textId="77777777" w:rsidR="002018AD" w:rsidRPr="00EA0C57" w:rsidRDefault="002018AD" w:rsidP="00EA0C57">
      <w:pPr>
        <w:spacing w:after="0" w:line="240" w:lineRule="auto"/>
        <w:rPr>
          <w:rFonts w:cstheme="minorHAnsi"/>
        </w:rPr>
      </w:pPr>
    </w:p>
    <w:sectPr w:rsidR="002018AD" w:rsidRPr="00EA0C57" w:rsidSect="00F2107A">
      <w:headerReference w:type="even" r:id="rId26"/>
      <w:headerReference w:type="default" r:id="rId27"/>
      <w:footerReference w:type="even" r:id="rId28"/>
      <w:footerReference w:type="default" r:id="rId29"/>
      <w:headerReference w:type="first" r:id="rId30"/>
      <w:footerReference w:type="first" r:id="rId3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27E5" w14:textId="77777777" w:rsidR="00575650" w:rsidRDefault="00575650" w:rsidP="0014053D">
      <w:pPr>
        <w:spacing w:after="0" w:line="240" w:lineRule="auto"/>
      </w:pPr>
      <w:r>
        <w:separator/>
      </w:r>
    </w:p>
  </w:endnote>
  <w:endnote w:type="continuationSeparator" w:id="0">
    <w:p w14:paraId="4C469779" w14:textId="77777777" w:rsidR="00575650" w:rsidRDefault="00575650" w:rsidP="001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InfoTextPro">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D421" w14:textId="77777777" w:rsidR="00FF1FCD" w:rsidRDefault="00FF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F680" w14:textId="77777777" w:rsidR="00C97791" w:rsidRPr="00FF1FCD" w:rsidRDefault="00C97791">
    <w:pPr>
      <w:pStyle w:val="Footer"/>
      <w:rPr>
        <w:rFonts w:ascii="InfoTextPro" w:hAnsi="InfoTextPro" w:cs="InfoTextPro"/>
        <w:color w:val="38647C"/>
        <w:sz w:val="28"/>
        <w:szCs w:val="28"/>
      </w:rPr>
    </w:pPr>
    <w:r w:rsidRPr="00FF1FCD">
      <w:rPr>
        <w:rFonts w:ascii="InfoTextPro" w:eastAsiaTheme="majorEastAsia" w:hAnsi="InfoTextPro" w:cs="InfoTextPro"/>
        <w:b/>
        <w:color w:val="38647C"/>
        <w:sz w:val="28"/>
        <w:szCs w:val="28"/>
      </w:rPr>
      <w:t>researchinpractice.org.uk</w:t>
    </w:r>
    <w:r w:rsidRPr="00FF1FCD">
      <w:rPr>
        <w:rFonts w:ascii="InfoTextPro" w:eastAsiaTheme="majorEastAsia" w:hAnsi="InfoTextPro" w:cs="InfoTextPro"/>
        <w:b/>
        <w:color w:val="38647C"/>
        <w:sz w:val="28"/>
        <w:szCs w:val="28"/>
      </w:rPr>
      <w:tab/>
    </w:r>
    <w:r w:rsidRPr="00FF1FCD">
      <w:rPr>
        <w:rFonts w:ascii="InfoTextPro" w:eastAsiaTheme="majorEastAsia" w:hAnsi="InfoTextPro" w:cs="InfoTextPro"/>
        <w:b/>
        <w:color w:val="38647C"/>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444B" w14:textId="77777777" w:rsidR="00FF1FCD" w:rsidRDefault="00FF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CE80" w14:textId="77777777" w:rsidR="00575650" w:rsidRDefault="00575650" w:rsidP="0014053D">
      <w:pPr>
        <w:spacing w:after="0" w:line="240" w:lineRule="auto"/>
      </w:pPr>
      <w:r>
        <w:separator/>
      </w:r>
    </w:p>
  </w:footnote>
  <w:footnote w:type="continuationSeparator" w:id="0">
    <w:p w14:paraId="0082FA64" w14:textId="77777777" w:rsidR="00575650" w:rsidRDefault="00575650" w:rsidP="0014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FEAD" w14:textId="77777777" w:rsidR="00FF1FCD" w:rsidRDefault="00FF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4EE7" w14:textId="77777777" w:rsidR="00C97791" w:rsidRDefault="00C97791">
    <w:pPr>
      <w:pStyle w:val="Header"/>
    </w:pPr>
    <w:r>
      <w:rPr>
        <w:noProof/>
        <w:lang w:eastAsia="en-GB"/>
      </w:rPr>
      <w:drawing>
        <wp:anchor distT="0" distB="0" distL="114300" distR="114300" simplePos="0" relativeHeight="251658240" behindDoc="1" locked="0" layoutInCell="1" allowOverlap="1" wp14:anchorId="5AFC6688" wp14:editId="4AD8504F">
          <wp:simplePos x="0" y="0"/>
          <wp:positionH relativeFrom="column">
            <wp:posOffset>-313055</wp:posOffset>
          </wp:positionH>
          <wp:positionV relativeFrom="paragraph">
            <wp:posOffset>-36830</wp:posOffset>
          </wp:positionV>
          <wp:extent cx="1825200" cy="720000"/>
          <wp:effectExtent l="0" t="0" r="0" b="0"/>
          <wp:wrapTight wrapText="bothSides">
            <wp:wrapPolygon edited="0">
              <wp:start x="0" y="0"/>
              <wp:lineTo x="0" y="21162"/>
              <wp:lineTo x="21420" y="21162"/>
              <wp:lineTo x="21420" y="0"/>
              <wp:lineTo x="0" y="0"/>
            </wp:wrapPolygon>
          </wp:wrapTight>
          <wp:docPr id="8" name="Picture 0" descr="Screen Shot 2020-08-14 at 14.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8-14 at 14.44.29.png"/>
                  <pic:cNvPicPr/>
                </pic:nvPicPr>
                <pic:blipFill>
                  <a:blip r:embed="rId1">
                    <a:extLst>
                      <a:ext uri="{28A0092B-C50C-407E-A947-70E740481C1C}">
                        <a14:useLocalDpi xmlns:a14="http://schemas.microsoft.com/office/drawing/2010/main" val="0"/>
                      </a:ext>
                    </a:extLst>
                  </a:blip>
                  <a:stretch>
                    <a:fillRect/>
                  </a:stretch>
                </pic:blipFill>
                <pic:spPr>
                  <a:xfrm>
                    <a:off x="0" y="0"/>
                    <a:ext cx="18252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B321" w14:textId="77777777" w:rsidR="00FF1FCD" w:rsidRDefault="00FF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BD5"/>
    <w:multiLevelType w:val="multilevel"/>
    <w:tmpl w:val="531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82FA5"/>
    <w:multiLevelType w:val="multilevel"/>
    <w:tmpl w:val="2EF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3BDD"/>
    <w:multiLevelType w:val="multilevel"/>
    <w:tmpl w:val="BC3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BF6"/>
    <w:rsid w:val="0002382A"/>
    <w:rsid w:val="00052930"/>
    <w:rsid w:val="00082EDD"/>
    <w:rsid w:val="00083EDF"/>
    <w:rsid w:val="000B2EFA"/>
    <w:rsid w:val="00106750"/>
    <w:rsid w:val="0014053D"/>
    <w:rsid w:val="0015579F"/>
    <w:rsid w:val="00157FD9"/>
    <w:rsid w:val="001A293F"/>
    <w:rsid w:val="001B3ED1"/>
    <w:rsid w:val="001E052E"/>
    <w:rsid w:val="002018AD"/>
    <w:rsid w:val="00213D43"/>
    <w:rsid w:val="00277FC4"/>
    <w:rsid w:val="00295CB3"/>
    <w:rsid w:val="0036115F"/>
    <w:rsid w:val="003B2A14"/>
    <w:rsid w:val="003D7078"/>
    <w:rsid w:val="003E2DE3"/>
    <w:rsid w:val="003F628F"/>
    <w:rsid w:val="00432B1E"/>
    <w:rsid w:val="00456214"/>
    <w:rsid w:val="004573EB"/>
    <w:rsid w:val="00482E14"/>
    <w:rsid w:val="004B5439"/>
    <w:rsid w:val="004D5CD5"/>
    <w:rsid w:val="004E4A7C"/>
    <w:rsid w:val="00544F56"/>
    <w:rsid w:val="00567C35"/>
    <w:rsid w:val="00575650"/>
    <w:rsid w:val="00595044"/>
    <w:rsid w:val="005E7E91"/>
    <w:rsid w:val="00606127"/>
    <w:rsid w:val="006F38D4"/>
    <w:rsid w:val="006F62C7"/>
    <w:rsid w:val="0072294C"/>
    <w:rsid w:val="0073737A"/>
    <w:rsid w:val="00754F82"/>
    <w:rsid w:val="00795677"/>
    <w:rsid w:val="007B6912"/>
    <w:rsid w:val="007D1307"/>
    <w:rsid w:val="007E066C"/>
    <w:rsid w:val="00821C43"/>
    <w:rsid w:val="00832F7D"/>
    <w:rsid w:val="008358DC"/>
    <w:rsid w:val="008616AB"/>
    <w:rsid w:val="00865359"/>
    <w:rsid w:val="00881AE8"/>
    <w:rsid w:val="008C355A"/>
    <w:rsid w:val="009246E9"/>
    <w:rsid w:val="00963934"/>
    <w:rsid w:val="0097320D"/>
    <w:rsid w:val="00975E53"/>
    <w:rsid w:val="009839DE"/>
    <w:rsid w:val="00994193"/>
    <w:rsid w:val="009B7D9C"/>
    <w:rsid w:val="00A072F1"/>
    <w:rsid w:val="00A23CCE"/>
    <w:rsid w:val="00A65E09"/>
    <w:rsid w:val="00AD32B2"/>
    <w:rsid w:val="00AF67B0"/>
    <w:rsid w:val="00B205E9"/>
    <w:rsid w:val="00B32655"/>
    <w:rsid w:val="00BC2AEC"/>
    <w:rsid w:val="00BC71EF"/>
    <w:rsid w:val="00C15A94"/>
    <w:rsid w:val="00C922E6"/>
    <w:rsid w:val="00C97791"/>
    <w:rsid w:val="00CA170D"/>
    <w:rsid w:val="00CB0F9B"/>
    <w:rsid w:val="00CE7825"/>
    <w:rsid w:val="00D36DBB"/>
    <w:rsid w:val="00D64825"/>
    <w:rsid w:val="00D67E28"/>
    <w:rsid w:val="00D7529B"/>
    <w:rsid w:val="00D97161"/>
    <w:rsid w:val="00DB17AD"/>
    <w:rsid w:val="00DF7BF6"/>
    <w:rsid w:val="00E10519"/>
    <w:rsid w:val="00EA09C6"/>
    <w:rsid w:val="00EA0C57"/>
    <w:rsid w:val="00EB5424"/>
    <w:rsid w:val="00EE36B5"/>
    <w:rsid w:val="00F13832"/>
    <w:rsid w:val="00F2107A"/>
    <w:rsid w:val="00FB2F61"/>
    <w:rsid w:val="00FB41B1"/>
    <w:rsid w:val="00FC6FB5"/>
    <w:rsid w:val="00FD6EA4"/>
    <w:rsid w:val="00FF1FCD"/>
    <w:rsid w:val="66C11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F148"/>
  <w15:docId w15:val="{F218B3B7-FF49-E344-8EC8-4C9B6A0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BB"/>
  </w:style>
  <w:style w:type="paragraph" w:styleId="Heading1">
    <w:name w:val="heading 1"/>
    <w:basedOn w:val="Normal"/>
    <w:link w:val="Heading1Char"/>
    <w:uiPriority w:val="9"/>
    <w:qFormat/>
    <w:rsid w:val="00FB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1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1"/>
    <w:rPr>
      <w:rFonts w:ascii="Times New Roman" w:eastAsia="Times New Roman" w:hAnsi="Times New Roman" w:cs="Times New Roman"/>
      <w:b/>
      <w:bCs/>
      <w:kern w:val="36"/>
      <w:sz w:val="48"/>
      <w:szCs w:val="48"/>
      <w:lang w:eastAsia="en-GB"/>
    </w:rPr>
  </w:style>
  <w:style w:type="character" w:customStyle="1" w:styleId="uppercase">
    <w:name w:val="uppercase"/>
    <w:basedOn w:val="DefaultParagraphFont"/>
    <w:rsid w:val="00FB2F61"/>
  </w:style>
  <w:style w:type="character" w:customStyle="1" w:styleId="apple-converted-space">
    <w:name w:val="apple-converted-space"/>
    <w:basedOn w:val="DefaultParagraphFont"/>
    <w:rsid w:val="00FB2F61"/>
  </w:style>
  <w:style w:type="character" w:styleId="Strong">
    <w:name w:val="Strong"/>
    <w:basedOn w:val="DefaultParagraphFont"/>
    <w:uiPriority w:val="22"/>
    <w:qFormat/>
    <w:rsid w:val="00FB2F61"/>
    <w:rPr>
      <w:b/>
      <w:bCs/>
    </w:rPr>
  </w:style>
  <w:style w:type="character" w:styleId="Hyperlink">
    <w:name w:val="Hyperlink"/>
    <w:basedOn w:val="DefaultParagraphFont"/>
    <w:uiPriority w:val="99"/>
    <w:unhideWhenUsed/>
    <w:rsid w:val="00FB2F61"/>
    <w:rPr>
      <w:color w:val="0563C1" w:themeColor="hyperlink"/>
      <w:u w:val="single"/>
    </w:rPr>
  </w:style>
  <w:style w:type="character" w:styleId="FollowedHyperlink">
    <w:name w:val="FollowedHyperlink"/>
    <w:basedOn w:val="DefaultParagraphFont"/>
    <w:uiPriority w:val="99"/>
    <w:semiHidden/>
    <w:unhideWhenUsed/>
    <w:rsid w:val="00795677"/>
    <w:rPr>
      <w:color w:val="954F72" w:themeColor="followedHyperlink"/>
      <w:u w:val="single"/>
    </w:rPr>
  </w:style>
  <w:style w:type="paragraph" w:styleId="Header">
    <w:name w:val="header"/>
    <w:basedOn w:val="Normal"/>
    <w:link w:val="HeaderChar"/>
    <w:uiPriority w:val="99"/>
    <w:unhideWhenUsed/>
    <w:rsid w:val="0014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3D"/>
  </w:style>
  <w:style w:type="paragraph" w:styleId="Footer">
    <w:name w:val="footer"/>
    <w:basedOn w:val="Normal"/>
    <w:link w:val="FooterChar"/>
    <w:uiPriority w:val="99"/>
    <w:unhideWhenUsed/>
    <w:rsid w:val="0014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3D"/>
  </w:style>
  <w:style w:type="table" w:styleId="TableGrid">
    <w:name w:val="Table Grid"/>
    <w:basedOn w:val="TableNormal"/>
    <w:uiPriority w:val="39"/>
    <w:rsid w:val="0008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8DC"/>
    <w:rPr>
      <w:color w:val="808080"/>
      <w:shd w:val="clear" w:color="auto" w:fill="E6E6E6"/>
    </w:rPr>
  </w:style>
  <w:style w:type="character" w:customStyle="1" w:styleId="Heading3Char">
    <w:name w:val="Heading 3 Char"/>
    <w:basedOn w:val="DefaultParagraphFont"/>
    <w:link w:val="Heading3"/>
    <w:uiPriority w:val="9"/>
    <w:semiHidden/>
    <w:rsid w:val="00E1051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3E2DE3"/>
    <w:pPr>
      <w:spacing w:beforeLines="1" w:afterLines="1" w:line="240" w:lineRule="auto"/>
    </w:pPr>
    <w:rPr>
      <w:rFonts w:ascii="Times" w:hAnsi="Times" w:cs="Times New Roman"/>
      <w:sz w:val="20"/>
      <w:szCs w:val="20"/>
    </w:rPr>
  </w:style>
  <w:style w:type="character" w:customStyle="1" w:styleId="UnresolvedMention">
    <w:name w:val="Unresolved Mention"/>
    <w:basedOn w:val="DefaultParagraphFont"/>
    <w:uiPriority w:val="99"/>
    <w:semiHidden/>
    <w:unhideWhenUsed/>
    <w:rsid w:val="001B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3803">
      <w:bodyDiv w:val="1"/>
      <w:marLeft w:val="0"/>
      <w:marRight w:val="0"/>
      <w:marTop w:val="0"/>
      <w:marBottom w:val="0"/>
      <w:divBdr>
        <w:top w:val="none" w:sz="0" w:space="0" w:color="auto"/>
        <w:left w:val="none" w:sz="0" w:space="0" w:color="auto"/>
        <w:bottom w:val="none" w:sz="0" w:space="0" w:color="auto"/>
        <w:right w:val="none" w:sz="0" w:space="0" w:color="auto"/>
      </w:divBdr>
    </w:div>
    <w:div w:id="183400760">
      <w:bodyDiv w:val="1"/>
      <w:marLeft w:val="0"/>
      <w:marRight w:val="0"/>
      <w:marTop w:val="0"/>
      <w:marBottom w:val="0"/>
      <w:divBdr>
        <w:top w:val="none" w:sz="0" w:space="0" w:color="auto"/>
        <w:left w:val="none" w:sz="0" w:space="0" w:color="auto"/>
        <w:bottom w:val="none" w:sz="0" w:space="0" w:color="auto"/>
        <w:right w:val="none" w:sz="0" w:space="0" w:color="auto"/>
      </w:divBdr>
    </w:div>
    <w:div w:id="196049729">
      <w:bodyDiv w:val="1"/>
      <w:marLeft w:val="0"/>
      <w:marRight w:val="0"/>
      <w:marTop w:val="0"/>
      <w:marBottom w:val="0"/>
      <w:divBdr>
        <w:top w:val="none" w:sz="0" w:space="0" w:color="auto"/>
        <w:left w:val="none" w:sz="0" w:space="0" w:color="auto"/>
        <w:bottom w:val="none" w:sz="0" w:space="0" w:color="auto"/>
        <w:right w:val="none" w:sz="0" w:space="0" w:color="auto"/>
      </w:divBdr>
    </w:div>
    <w:div w:id="402601057">
      <w:bodyDiv w:val="1"/>
      <w:marLeft w:val="0"/>
      <w:marRight w:val="0"/>
      <w:marTop w:val="0"/>
      <w:marBottom w:val="0"/>
      <w:divBdr>
        <w:top w:val="none" w:sz="0" w:space="0" w:color="auto"/>
        <w:left w:val="none" w:sz="0" w:space="0" w:color="auto"/>
        <w:bottom w:val="none" w:sz="0" w:space="0" w:color="auto"/>
        <w:right w:val="none" w:sz="0" w:space="0" w:color="auto"/>
      </w:divBdr>
    </w:div>
    <w:div w:id="601373581">
      <w:bodyDiv w:val="1"/>
      <w:marLeft w:val="0"/>
      <w:marRight w:val="0"/>
      <w:marTop w:val="0"/>
      <w:marBottom w:val="0"/>
      <w:divBdr>
        <w:top w:val="none" w:sz="0" w:space="0" w:color="auto"/>
        <w:left w:val="none" w:sz="0" w:space="0" w:color="auto"/>
        <w:bottom w:val="none" w:sz="0" w:space="0" w:color="auto"/>
        <w:right w:val="none" w:sz="0" w:space="0" w:color="auto"/>
      </w:divBdr>
    </w:div>
    <w:div w:id="697238676">
      <w:bodyDiv w:val="1"/>
      <w:marLeft w:val="0"/>
      <w:marRight w:val="0"/>
      <w:marTop w:val="0"/>
      <w:marBottom w:val="0"/>
      <w:divBdr>
        <w:top w:val="none" w:sz="0" w:space="0" w:color="auto"/>
        <w:left w:val="none" w:sz="0" w:space="0" w:color="auto"/>
        <w:bottom w:val="none" w:sz="0" w:space="0" w:color="auto"/>
        <w:right w:val="none" w:sz="0" w:space="0" w:color="auto"/>
      </w:divBdr>
    </w:div>
    <w:div w:id="913710539">
      <w:bodyDiv w:val="1"/>
      <w:marLeft w:val="0"/>
      <w:marRight w:val="0"/>
      <w:marTop w:val="0"/>
      <w:marBottom w:val="0"/>
      <w:divBdr>
        <w:top w:val="none" w:sz="0" w:space="0" w:color="auto"/>
        <w:left w:val="none" w:sz="0" w:space="0" w:color="auto"/>
        <w:bottom w:val="none" w:sz="0" w:space="0" w:color="auto"/>
        <w:right w:val="none" w:sz="0" w:space="0" w:color="auto"/>
      </w:divBdr>
    </w:div>
    <w:div w:id="1010764679">
      <w:bodyDiv w:val="1"/>
      <w:marLeft w:val="0"/>
      <w:marRight w:val="0"/>
      <w:marTop w:val="0"/>
      <w:marBottom w:val="0"/>
      <w:divBdr>
        <w:top w:val="none" w:sz="0" w:space="0" w:color="auto"/>
        <w:left w:val="none" w:sz="0" w:space="0" w:color="auto"/>
        <w:bottom w:val="none" w:sz="0" w:space="0" w:color="auto"/>
        <w:right w:val="none" w:sz="0" w:space="0" w:color="auto"/>
      </w:divBdr>
    </w:div>
    <w:div w:id="1018972733">
      <w:bodyDiv w:val="1"/>
      <w:marLeft w:val="0"/>
      <w:marRight w:val="0"/>
      <w:marTop w:val="0"/>
      <w:marBottom w:val="0"/>
      <w:divBdr>
        <w:top w:val="none" w:sz="0" w:space="0" w:color="auto"/>
        <w:left w:val="none" w:sz="0" w:space="0" w:color="auto"/>
        <w:bottom w:val="none" w:sz="0" w:space="0" w:color="auto"/>
        <w:right w:val="none" w:sz="0" w:space="0" w:color="auto"/>
      </w:divBdr>
    </w:div>
    <w:div w:id="1099830984">
      <w:bodyDiv w:val="1"/>
      <w:marLeft w:val="0"/>
      <w:marRight w:val="0"/>
      <w:marTop w:val="0"/>
      <w:marBottom w:val="0"/>
      <w:divBdr>
        <w:top w:val="none" w:sz="0" w:space="0" w:color="auto"/>
        <w:left w:val="none" w:sz="0" w:space="0" w:color="auto"/>
        <w:bottom w:val="none" w:sz="0" w:space="0" w:color="auto"/>
        <w:right w:val="none" w:sz="0" w:space="0" w:color="auto"/>
      </w:divBdr>
    </w:div>
    <w:div w:id="1164782386">
      <w:bodyDiv w:val="1"/>
      <w:marLeft w:val="0"/>
      <w:marRight w:val="0"/>
      <w:marTop w:val="0"/>
      <w:marBottom w:val="0"/>
      <w:divBdr>
        <w:top w:val="none" w:sz="0" w:space="0" w:color="auto"/>
        <w:left w:val="none" w:sz="0" w:space="0" w:color="auto"/>
        <w:bottom w:val="none" w:sz="0" w:space="0" w:color="auto"/>
        <w:right w:val="none" w:sz="0" w:space="0" w:color="auto"/>
      </w:divBdr>
    </w:div>
    <w:div w:id="1235972705">
      <w:bodyDiv w:val="1"/>
      <w:marLeft w:val="0"/>
      <w:marRight w:val="0"/>
      <w:marTop w:val="0"/>
      <w:marBottom w:val="0"/>
      <w:divBdr>
        <w:top w:val="none" w:sz="0" w:space="0" w:color="auto"/>
        <w:left w:val="none" w:sz="0" w:space="0" w:color="auto"/>
        <w:bottom w:val="none" w:sz="0" w:space="0" w:color="auto"/>
        <w:right w:val="none" w:sz="0" w:space="0" w:color="auto"/>
      </w:divBdr>
    </w:div>
    <w:div w:id="1276525132">
      <w:bodyDiv w:val="1"/>
      <w:marLeft w:val="0"/>
      <w:marRight w:val="0"/>
      <w:marTop w:val="0"/>
      <w:marBottom w:val="0"/>
      <w:divBdr>
        <w:top w:val="none" w:sz="0" w:space="0" w:color="auto"/>
        <w:left w:val="none" w:sz="0" w:space="0" w:color="auto"/>
        <w:bottom w:val="none" w:sz="0" w:space="0" w:color="auto"/>
        <w:right w:val="none" w:sz="0" w:space="0" w:color="auto"/>
      </w:divBdr>
      <w:divsChild>
        <w:div w:id="997150667">
          <w:marLeft w:val="0"/>
          <w:marRight w:val="0"/>
          <w:marTop w:val="0"/>
          <w:marBottom w:val="0"/>
          <w:divBdr>
            <w:top w:val="none" w:sz="0" w:space="0" w:color="auto"/>
            <w:left w:val="none" w:sz="0" w:space="0" w:color="auto"/>
            <w:bottom w:val="none" w:sz="0" w:space="0" w:color="auto"/>
            <w:right w:val="none" w:sz="0" w:space="0" w:color="auto"/>
          </w:divBdr>
          <w:divsChild>
            <w:div w:id="2097049099">
              <w:marLeft w:val="0"/>
              <w:marRight w:val="0"/>
              <w:marTop w:val="0"/>
              <w:marBottom w:val="0"/>
              <w:divBdr>
                <w:top w:val="none" w:sz="0" w:space="0" w:color="auto"/>
                <w:left w:val="none" w:sz="0" w:space="0" w:color="auto"/>
                <w:bottom w:val="none" w:sz="0" w:space="0" w:color="auto"/>
                <w:right w:val="none" w:sz="0" w:space="0" w:color="auto"/>
              </w:divBdr>
              <w:divsChild>
                <w:div w:id="692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011">
      <w:bodyDiv w:val="1"/>
      <w:marLeft w:val="0"/>
      <w:marRight w:val="0"/>
      <w:marTop w:val="0"/>
      <w:marBottom w:val="0"/>
      <w:divBdr>
        <w:top w:val="none" w:sz="0" w:space="0" w:color="auto"/>
        <w:left w:val="none" w:sz="0" w:space="0" w:color="auto"/>
        <w:bottom w:val="none" w:sz="0" w:space="0" w:color="auto"/>
        <w:right w:val="none" w:sz="0" w:space="0" w:color="auto"/>
      </w:divBdr>
    </w:div>
    <w:div w:id="1593466875">
      <w:bodyDiv w:val="1"/>
      <w:marLeft w:val="0"/>
      <w:marRight w:val="0"/>
      <w:marTop w:val="0"/>
      <w:marBottom w:val="0"/>
      <w:divBdr>
        <w:top w:val="none" w:sz="0" w:space="0" w:color="auto"/>
        <w:left w:val="none" w:sz="0" w:space="0" w:color="auto"/>
        <w:bottom w:val="none" w:sz="0" w:space="0" w:color="auto"/>
        <w:right w:val="none" w:sz="0" w:space="0" w:color="auto"/>
      </w:divBdr>
    </w:div>
    <w:div w:id="1599562965">
      <w:bodyDiv w:val="1"/>
      <w:marLeft w:val="0"/>
      <w:marRight w:val="0"/>
      <w:marTop w:val="0"/>
      <w:marBottom w:val="0"/>
      <w:divBdr>
        <w:top w:val="none" w:sz="0" w:space="0" w:color="auto"/>
        <w:left w:val="none" w:sz="0" w:space="0" w:color="auto"/>
        <w:bottom w:val="none" w:sz="0" w:space="0" w:color="auto"/>
        <w:right w:val="none" w:sz="0" w:space="0" w:color="auto"/>
      </w:divBdr>
    </w:div>
    <w:div w:id="1742408119">
      <w:bodyDiv w:val="1"/>
      <w:marLeft w:val="0"/>
      <w:marRight w:val="0"/>
      <w:marTop w:val="0"/>
      <w:marBottom w:val="0"/>
      <w:divBdr>
        <w:top w:val="none" w:sz="0" w:space="0" w:color="auto"/>
        <w:left w:val="none" w:sz="0" w:space="0" w:color="auto"/>
        <w:bottom w:val="none" w:sz="0" w:space="0" w:color="auto"/>
        <w:right w:val="none" w:sz="0" w:space="0" w:color="auto"/>
      </w:divBdr>
      <w:divsChild>
        <w:div w:id="528952551">
          <w:marLeft w:val="0"/>
          <w:marRight w:val="0"/>
          <w:marTop w:val="0"/>
          <w:marBottom w:val="225"/>
          <w:divBdr>
            <w:top w:val="none" w:sz="0" w:space="0" w:color="auto"/>
            <w:left w:val="none" w:sz="0" w:space="0" w:color="auto"/>
            <w:bottom w:val="none" w:sz="0" w:space="0" w:color="auto"/>
            <w:right w:val="none" w:sz="0" w:space="0" w:color="auto"/>
          </w:divBdr>
          <w:divsChild>
            <w:div w:id="1295482362">
              <w:marLeft w:val="0"/>
              <w:marRight w:val="0"/>
              <w:marTop w:val="0"/>
              <w:marBottom w:val="150"/>
              <w:divBdr>
                <w:top w:val="none" w:sz="0" w:space="0" w:color="auto"/>
                <w:left w:val="none" w:sz="0" w:space="0" w:color="auto"/>
                <w:bottom w:val="none" w:sz="0" w:space="0" w:color="auto"/>
                <w:right w:val="none" w:sz="0" w:space="0" w:color="auto"/>
              </w:divBdr>
            </w:div>
          </w:divsChild>
        </w:div>
        <w:div w:id="1083339039">
          <w:marLeft w:val="0"/>
          <w:marRight w:val="0"/>
          <w:marTop w:val="0"/>
          <w:marBottom w:val="0"/>
          <w:divBdr>
            <w:top w:val="none" w:sz="0" w:space="0" w:color="auto"/>
            <w:left w:val="none" w:sz="0" w:space="0" w:color="auto"/>
            <w:bottom w:val="none" w:sz="0" w:space="0" w:color="auto"/>
            <w:right w:val="none" w:sz="0" w:space="0" w:color="auto"/>
          </w:divBdr>
          <w:divsChild>
            <w:div w:id="635843653">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 w:id="2081707954">
      <w:bodyDiv w:val="1"/>
      <w:marLeft w:val="0"/>
      <w:marRight w:val="0"/>
      <w:marTop w:val="0"/>
      <w:marBottom w:val="0"/>
      <w:divBdr>
        <w:top w:val="none" w:sz="0" w:space="0" w:color="auto"/>
        <w:left w:val="none" w:sz="0" w:space="0" w:color="auto"/>
        <w:bottom w:val="none" w:sz="0" w:space="0" w:color="auto"/>
        <w:right w:val="none" w:sz="0" w:space="0" w:color="auto"/>
      </w:divBdr>
    </w:div>
    <w:div w:id="2090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inpractice.org.uk/children/publications/2014/july/analysis-and-critical-thinking-in-assessment-resource-pack-2014/" TargetMode="External"/><Relationship Id="rId18" Type="http://schemas.openxmlformats.org/officeDocument/2006/relationships/hyperlink" Target="https://seriouscasereviews.rip.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searchinpractice.org.uk/all/news-views/2021/january/what-does-good-audit-and-practice-look-like-when-so-much-is-uncertain/" TargetMode="External"/><Relationship Id="rId7" Type="http://schemas.openxmlformats.org/officeDocument/2006/relationships/webSettings" Target="webSettings.xml"/><Relationship Id="rId12" Type="http://schemas.openxmlformats.org/officeDocument/2006/relationships/hyperlink" Target="https://www.researchinpractice.org.uk/all/content-pages/training-and-development-programmes/online-learning-packages-tailored-support/analysis-and-critical-thinking-in-assessment/" TargetMode="External"/><Relationship Id="rId17" Type="http://schemas.openxmlformats.org/officeDocument/2006/relationships/image" Target="media/image4.jpeg"/><Relationship Id="rId25" Type="http://schemas.openxmlformats.org/officeDocument/2006/relationships/hyperlink" Target="https://www.researchinpractice.org.uk/dashboard/my-cp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earchinpractice.org.uk/all/content-pages/videos/critically-reflective-practice-making-sense-of-uncertainty/" TargetMode="External"/><Relationship Id="rId20" Type="http://schemas.openxmlformats.org/officeDocument/2006/relationships/hyperlink" Target="https://www.researchinpractice.org.uk/all/news-views/2021/january/what-does-good-audit-and-practice-look-like-when-so-much-is-uncerta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mailto:ask@researchinpractice.org.u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www.researchinpractice.org.uk/register/" TargetMode="External"/><Relationship Id="rId28" Type="http://schemas.openxmlformats.org/officeDocument/2006/relationships/footer" Target="footer1.xml"/><Relationship Id="rId10" Type="http://schemas.openxmlformats.org/officeDocument/2006/relationships/hyperlink" Target="https://www.researchinpractice.org.uk/all/content-pages/training-and-development-programmes/online-learning-packages-tailored-support/analysis-and-critical-thinking-in-assessment/" TargetMode="External"/><Relationship Id="rId19" Type="http://schemas.openxmlformats.org/officeDocument/2006/relationships/hyperlink" Target="https://www.researchinpractice.org.uk/children/news-views/2021/april/cafcass-peer-practice-specialists-sharing-expertise-to-understand-unique-and-diverse-needs-of-children-and-familie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www.researchinpractice.org.uk/dashboard/"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C50CAD67EDF344B920EBC8C78EF5E9" ma:contentTypeVersion="4" ma:contentTypeDescription="Create a new document." ma:contentTypeScope="" ma:versionID="8dbdf6af9c222505183ad948fa58386a">
  <xsd:schema xmlns:xsd="http://www.w3.org/2001/XMLSchema" xmlns:xs="http://www.w3.org/2001/XMLSchema" xmlns:p="http://schemas.microsoft.com/office/2006/metadata/properties" xmlns:ns2="ca010d7d-b7a2-40c4-bb1f-414dddd2c8da" targetNamespace="http://schemas.microsoft.com/office/2006/metadata/properties" ma:root="true" ma:fieldsID="90d3f78232fe8084ab568790b31e1abe" ns2:_="">
    <xsd:import namespace="ca010d7d-b7a2-40c4-bb1f-414dddd2c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0d7d-b7a2-40c4-bb1f-414dddd2c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CC7AA-6AFB-4095-A912-0D75E6779BAE}">
  <ds:schemaRefs>
    <ds:schemaRef ds:uri="http://schemas.microsoft.com/sharepoint/v3/contenttype/forms"/>
  </ds:schemaRefs>
</ds:datastoreItem>
</file>

<file path=customXml/itemProps2.xml><?xml version="1.0" encoding="utf-8"?>
<ds:datastoreItem xmlns:ds="http://schemas.openxmlformats.org/officeDocument/2006/customXml" ds:itemID="{CD3B7B54-1ADE-4E0A-8458-8646AEA8DA80}">
  <ds:schemaRefs>
    <ds:schemaRef ds:uri="http://schemas.microsoft.com/office/2006/metadata/properties"/>
    <ds:schemaRef ds:uri="http://schemas.microsoft.com/office/infopath/2007/PartnerControls"/>
    <ds:schemaRef ds:uri="2540e424-217c-45f0-b4fe-63acdbb76fc0"/>
  </ds:schemaRefs>
</ds:datastoreItem>
</file>

<file path=customXml/itemProps3.xml><?xml version="1.0" encoding="utf-8"?>
<ds:datastoreItem xmlns:ds="http://schemas.openxmlformats.org/officeDocument/2006/customXml" ds:itemID="{AC7FF63C-B106-4F55-8F16-F9FE46272AA7}"/>
</file>

<file path=docProps/app.xml><?xml version="1.0" encoding="utf-8"?>
<Properties xmlns="http://schemas.openxmlformats.org/officeDocument/2006/extended-properties" xmlns:vt="http://schemas.openxmlformats.org/officeDocument/2006/docPropsVTypes">
  <Template>Normal</Template>
  <TotalTime>58</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Emotional resilience</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resilience</dc:title>
  <dc:subject/>
  <dc:creator>Louise Johnstone</dc:creator>
  <cp:keywords/>
  <dc:description/>
  <cp:lastModifiedBy>Louise Johnstone</cp:lastModifiedBy>
  <cp:revision>12</cp:revision>
  <cp:lastPrinted>2017-08-04T10:01:00Z</cp:lastPrinted>
  <dcterms:created xsi:type="dcterms:W3CDTF">2020-08-14T16:14:00Z</dcterms:created>
  <dcterms:modified xsi:type="dcterms:W3CDTF">2021-12-21T13:25:00Z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0x01010091475D53C8F2DC4BA3EE4D1361F5F0B3</vt:lpwstr>
  </property>
</Properties>
</file>