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85949" w14:textId="1A037817" w:rsidR="00D712EA" w:rsidRDefault="00FC4CF5" w:rsidP="005004E2">
      <w:pPr>
        <w:spacing w:after="0" w:line="240" w:lineRule="auto"/>
        <w:jc w:val="right"/>
        <w:rPr>
          <w:rFonts w:ascii="InfoTextPro" w:eastAsiaTheme="majorEastAsia" w:hAnsi="InfoTextPro" w:cs="InfoTextPro"/>
          <w:b/>
          <w:color w:val="38647C"/>
          <w:sz w:val="36"/>
          <w:szCs w:val="36"/>
        </w:rPr>
      </w:pPr>
      <w:r w:rsidRPr="00484EF4">
        <w:rPr>
          <w:rFonts w:ascii="InfoTextPro" w:eastAsiaTheme="majorEastAsia" w:hAnsi="InfoTextPro" w:cs="InfoTextPro"/>
          <w:b/>
          <w:color w:val="38647C"/>
          <w:sz w:val="36"/>
          <w:szCs w:val="36"/>
        </w:rPr>
        <w:t>Professional Curiosity</w:t>
      </w:r>
      <w:r w:rsidR="007B6912" w:rsidRPr="00484EF4">
        <w:rPr>
          <w:rFonts w:ascii="InfoTextPro" w:eastAsiaTheme="majorEastAsia" w:hAnsi="InfoTextPro" w:cs="InfoTextPro"/>
          <w:b/>
          <w:color w:val="38647C"/>
          <w:sz w:val="36"/>
          <w:szCs w:val="36"/>
        </w:rPr>
        <w:t xml:space="preserve">: </w:t>
      </w:r>
      <w:r w:rsidR="00D712EA">
        <w:rPr>
          <w:rFonts w:ascii="InfoTextPro" w:eastAsiaTheme="majorEastAsia" w:hAnsi="InfoTextPro" w:cs="InfoTextPro"/>
          <w:b/>
          <w:color w:val="38647C"/>
          <w:sz w:val="36"/>
          <w:szCs w:val="36"/>
        </w:rPr>
        <w:t>Signpost</w:t>
      </w:r>
    </w:p>
    <w:p w14:paraId="760487A3" w14:textId="5E90AFBB" w:rsidR="00832F7D" w:rsidRPr="00484EF4" w:rsidRDefault="001E052E" w:rsidP="005004E2">
      <w:pPr>
        <w:spacing w:after="0" w:line="240" w:lineRule="auto"/>
        <w:jc w:val="right"/>
        <w:rPr>
          <w:rFonts w:ascii="InfoTextPro" w:eastAsiaTheme="majorEastAsia" w:hAnsi="InfoTextPro" w:cs="InfoTextPro"/>
          <w:b/>
          <w:color w:val="38647C"/>
          <w:sz w:val="36"/>
          <w:szCs w:val="36"/>
        </w:rPr>
      </w:pPr>
      <w:r w:rsidRPr="00484EF4">
        <w:rPr>
          <w:rFonts w:ascii="InfoTextPro" w:hAnsi="InfoTextPro" w:cs="InfoTextPro"/>
          <w:b/>
          <w:color w:val="38647C"/>
          <w:sz w:val="36"/>
          <w:szCs w:val="36"/>
        </w:rPr>
        <w:t>Key</w:t>
      </w:r>
      <w:r w:rsidR="00D712EA">
        <w:rPr>
          <w:rFonts w:ascii="InfoTextPro" w:hAnsi="InfoTextPro" w:cs="InfoTextPro"/>
          <w:b/>
          <w:color w:val="38647C"/>
          <w:sz w:val="36"/>
          <w:szCs w:val="36"/>
        </w:rPr>
        <w:t xml:space="preserve"> </w:t>
      </w:r>
      <w:bookmarkStart w:id="0" w:name="_GoBack"/>
      <w:bookmarkEnd w:id="0"/>
      <w:r w:rsidRPr="00484EF4">
        <w:rPr>
          <w:rFonts w:ascii="InfoTextPro" w:hAnsi="InfoTextPro" w:cs="InfoTextPro"/>
          <w:b/>
          <w:color w:val="38647C"/>
          <w:sz w:val="36"/>
          <w:szCs w:val="36"/>
        </w:rPr>
        <w:t>Resource</w:t>
      </w:r>
      <w:r w:rsidR="00C922E6" w:rsidRPr="00484EF4">
        <w:rPr>
          <w:rFonts w:ascii="InfoTextPro" w:hAnsi="InfoTextPro" w:cs="InfoTextPro"/>
          <w:b/>
          <w:color w:val="38647C"/>
          <w:sz w:val="36"/>
          <w:szCs w:val="36"/>
        </w:rPr>
        <w:t>s</w:t>
      </w:r>
      <w:r w:rsidR="00EC0CF3" w:rsidRPr="00484EF4">
        <w:rPr>
          <w:rFonts w:ascii="InfoTextPro" w:hAnsi="InfoTextPro" w:cs="InfoTextPro"/>
          <w:b/>
          <w:color w:val="38647C"/>
          <w:sz w:val="36"/>
          <w:szCs w:val="36"/>
        </w:rPr>
        <w:t xml:space="preserve"> for Children and Families</w:t>
      </w:r>
    </w:p>
    <w:p w14:paraId="26D473C6" w14:textId="0BFA14B5" w:rsidR="001E052E" w:rsidRPr="00484EF4" w:rsidRDefault="001E052E" w:rsidP="00484EF4">
      <w:pPr>
        <w:spacing w:after="0" w:line="240" w:lineRule="auto"/>
        <w:rPr>
          <w:rFonts w:ascii="InfoTextPro" w:hAnsi="InfoTextPro" w:cs="InfoTextPro"/>
          <w:b/>
          <w:sz w:val="28"/>
        </w:rPr>
      </w:pPr>
    </w:p>
    <w:p w14:paraId="69585288" w14:textId="13F91BA7" w:rsidR="00CE7825" w:rsidRPr="00611635" w:rsidRDefault="0062636D" w:rsidP="005004E2">
      <w:pPr>
        <w:spacing w:after="0" w:line="240" w:lineRule="auto"/>
        <w:ind w:left="993"/>
        <w:rPr>
          <w:rFonts w:ascii="InfoTextPro" w:hAnsi="InfoTextPro" w:cs="InfoTextPro"/>
          <w:b/>
          <w:color w:val="38647C"/>
          <w:sz w:val="24"/>
          <w:szCs w:val="24"/>
        </w:rPr>
      </w:pPr>
      <w:r>
        <w:rPr>
          <w:rFonts w:ascii="InfoTextPro" w:hAnsi="InfoTextPro" w:cs="InfoTextPro"/>
          <w:noProof/>
          <w:lang w:eastAsia="en-GB"/>
        </w:rPr>
        <w:drawing>
          <wp:anchor distT="0" distB="0" distL="114300" distR="114300" simplePos="0" relativeHeight="251658240" behindDoc="1" locked="0" layoutInCell="1" allowOverlap="1" wp14:anchorId="546C2DB5" wp14:editId="37E306B1">
            <wp:simplePos x="0" y="0"/>
            <wp:positionH relativeFrom="column">
              <wp:posOffset>-387350</wp:posOffset>
            </wp:positionH>
            <wp:positionV relativeFrom="paragraph">
              <wp:posOffset>189865</wp:posOffset>
            </wp:positionV>
            <wp:extent cx="743585" cy="737870"/>
            <wp:effectExtent l="0" t="0" r="0" b="5080"/>
            <wp:wrapTight wrapText="bothSides">
              <wp:wrapPolygon edited="0">
                <wp:start x="0" y="0"/>
                <wp:lineTo x="0" y="21191"/>
                <wp:lineTo x="21028" y="21191"/>
                <wp:lineTo x="210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14:sizeRelH relativeFrom="page">
              <wp14:pctWidth>0</wp14:pctWidth>
            </wp14:sizeRelH>
            <wp14:sizeRelV relativeFrom="page">
              <wp14:pctHeight>0</wp14:pctHeight>
            </wp14:sizeRelV>
          </wp:anchor>
        </w:drawing>
      </w:r>
      <w:r w:rsidR="00FC4CF5" w:rsidRPr="00611635">
        <w:rPr>
          <w:rFonts w:ascii="InfoTextPro" w:hAnsi="InfoTextPro" w:cs="InfoTextPro"/>
          <w:b/>
          <w:color w:val="38647C"/>
          <w:sz w:val="24"/>
          <w:szCs w:val="24"/>
        </w:rPr>
        <w:t>Online learning package: Professional Curiosity</w:t>
      </w:r>
    </w:p>
    <w:p w14:paraId="0375D262" w14:textId="1761BBB4" w:rsidR="006A0CA2" w:rsidRPr="00484EF4" w:rsidRDefault="00FC4CF5" w:rsidP="005004E2">
      <w:pPr>
        <w:spacing w:after="0" w:line="240" w:lineRule="auto"/>
        <w:ind w:left="993"/>
        <w:rPr>
          <w:rFonts w:ascii="InfoTextPro" w:hAnsi="InfoTextPro" w:cs="InfoTextPro"/>
        </w:rPr>
      </w:pPr>
      <w:r w:rsidRPr="005004E2">
        <w:rPr>
          <w:rFonts w:ascii="InfoTextPro" w:hAnsi="InfoTextPro" w:cs="InfoTextPro"/>
          <w:highlight w:val="yellow"/>
        </w:rPr>
        <w:t>[TO INSERT – currently being updated)</w:t>
      </w:r>
    </w:p>
    <w:p w14:paraId="6C50DF91" w14:textId="61D152D8" w:rsidR="00FC4CF5" w:rsidRPr="00484EF4" w:rsidRDefault="00FC4CF5" w:rsidP="005004E2">
      <w:pPr>
        <w:spacing w:after="0" w:line="240" w:lineRule="auto"/>
        <w:ind w:left="993"/>
        <w:rPr>
          <w:rFonts w:ascii="InfoTextPro" w:hAnsi="InfoTextPro" w:cs="InfoTextPro"/>
        </w:rPr>
      </w:pPr>
    </w:p>
    <w:p w14:paraId="3F4AF555" w14:textId="08532B24" w:rsidR="00FC4CF5" w:rsidRPr="00484EF4" w:rsidRDefault="00FC4CF5" w:rsidP="005004E2">
      <w:pPr>
        <w:spacing w:after="0" w:line="240" w:lineRule="auto"/>
        <w:ind w:left="993"/>
        <w:rPr>
          <w:rFonts w:ascii="InfoTextPro" w:hAnsi="InfoTextPro" w:cs="InfoTextPro"/>
        </w:rPr>
      </w:pPr>
    </w:p>
    <w:p w14:paraId="10C71E4C" w14:textId="62576770" w:rsidR="00FC4CF5" w:rsidRPr="00484EF4" w:rsidRDefault="00FC4CF5" w:rsidP="005004E2">
      <w:pPr>
        <w:spacing w:after="0" w:line="240" w:lineRule="auto"/>
        <w:ind w:left="993"/>
        <w:rPr>
          <w:rFonts w:ascii="InfoTextPro" w:hAnsi="InfoTextPro" w:cs="InfoTextPro"/>
        </w:rPr>
      </w:pPr>
    </w:p>
    <w:p w14:paraId="771B569D" w14:textId="430C95F2" w:rsidR="00FC4CF5" w:rsidRDefault="00FC4CF5" w:rsidP="005004E2">
      <w:pPr>
        <w:spacing w:after="0" w:line="240" w:lineRule="auto"/>
        <w:ind w:left="993"/>
        <w:rPr>
          <w:rFonts w:ascii="InfoTextPro" w:hAnsi="InfoTextPro" w:cs="InfoTextPro"/>
        </w:rPr>
      </w:pPr>
    </w:p>
    <w:p w14:paraId="368F49C6" w14:textId="77777777" w:rsidR="000F6D58" w:rsidRPr="00484EF4" w:rsidRDefault="000F6D58" w:rsidP="005004E2">
      <w:pPr>
        <w:spacing w:after="0" w:line="240" w:lineRule="auto"/>
        <w:ind w:left="993"/>
        <w:rPr>
          <w:rFonts w:ascii="InfoTextPro" w:hAnsi="InfoTextPro" w:cs="InfoTextPro"/>
        </w:rPr>
      </w:pPr>
    </w:p>
    <w:p w14:paraId="5A14A762" w14:textId="6D7ACD66" w:rsidR="006A0CA2" w:rsidRPr="00611635" w:rsidRDefault="006A0CA2" w:rsidP="005004E2">
      <w:pPr>
        <w:spacing w:after="0" w:line="240" w:lineRule="auto"/>
        <w:ind w:left="993"/>
        <w:rPr>
          <w:rFonts w:ascii="InfoTextPro" w:hAnsi="InfoTextPro" w:cs="InfoTextPro"/>
          <w:color w:val="38647C"/>
          <w:sz w:val="24"/>
          <w:szCs w:val="24"/>
        </w:rPr>
      </w:pPr>
    </w:p>
    <w:p w14:paraId="5DC2AC0D" w14:textId="1B26C69B" w:rsidR="00FC4CF5" w:rsidRPr="00611635" w:rsidRDefault="0062636D" w:rsidP="005004E2">
      <w:pPr>
        <w:spacing w:after="0" w:line="240" w:lineRule="auto"/>
        <w:ind w:left="993"/>
        <w:rPr>
          <w:rFonts w:ascii="InfoTextPro" w:hAnsi="InfoTextPro" w:cs="InfoTextPro"/>
          <w:b/>
          <w:bCs/>
          <w:color w:val="38647C"/>
          <w:sz w:val="24"/>
          <w:szCs w:val="24"/>
        </w:rPr>
      </w:pPr>
      <w:r>
        <w:rPr>
          <w:rFonts w:ascii="InfoTextPro" w:hAnsi="InfoTextPro" w:cs="InfoTextPro"/>
          <w:noProof/>
          <w:lang w:eastAsia="en-GB"/>
        </w:rPr>
        <w:drawing>
          <wp:anchor distT="0" distB="0" distL="114300" distR="114300" simplePos="0" relativeHeight="251660288" behindDoc="1" locked="0" layoutInCell="1" allowOverlap="1" wp14:anchorId="0A937E06" wp14:editId="3DAE982B">
            <wp:simplePos x="0" y="0"/>
            <wp:positionH relativeFrom="column">
              <wp:posOffset>-349250</wp:posOffset>
            </wp:positionH>
            <wp:positionV relativeFrom="paragraph">
              <wp:posOffset>186690</wp:posOffset>
            </wp:positionV>
            <wp:extent cx="743585" cy="737870"/>
            <wp:effectExtent l="0" t="0" r="0" b="5080"/>
            <wp:wrapTight wrapText="bothSides">
              <wp:wrapPolygon edited="0">
                <wp:start x="0" y="0"/>
                <wp:lineTo x="0" y="21191"/>
                <wp:lineTo x="21028" y="21191"/>
                <wp:lineTo x="210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14:sizeRelH relativeFrom="page">
              <wp14:pctWidth>0</wp14:pctWidth>
            </wp14:sizeRelH>
            <wp14:sizeRelV relativeFrom="page">
              <wp14:pctHeight>0</wp14:pctHeight>
            </wp14:sizeRelV>
          </wp:anchor>
        </w:drawing>
      </w:r>
      <w:hyperlink r:id="rId11" w:history="1">
        <w:r w:rsidR="00FC4CF5" w:rsidRPr="00611635">
          <w:rPr>
            <w:rStyle w:val="Hyperlink"/>
            <w:rFonts w:ascii="InfoTextPro" w:hAnsi="InfoTextPro" w:cs="InfoTextPro"/>
            <w:b/>
            <w:bCs/>
            <w:color w:val="38647C"/>
            <w:sz w:val="24"/>
            <w:szCs w:val="24"/>
          </w:rPr>
          <w:t>Online learning package: An introduction to cultural competence in social care</w:t>
        </w:r>
      </w:hyperlink>
    </w:p>
    <w:p w14:paraId="1D23923F" w14:textId="4EAED53F" w:rsidR="00FC4CF5" w:rsidRDefault="00611635" w:rsidP="005004E2">
      <w:pPr>
        <w:spacing w:after="0" w:line="240" w:lineRule="auto"/>
        <w:ind w:left="993"/>
        <w:rPr>
          <w:rFonts w:ascii="InfoTextPro" w:hAnsi="InfoTextPro" w:cs="InfoTextPro"/>
          <w:lang w:val="en-US"/>
        </w:rPr>
      </w:pPr>
      <w:r>
        <w:rPr>
          <w:rFonts w:ascii="InfoTextPro" w:hAnsi="InfoTextPro" w:cs="InfoTextPro"/>
          <w:lang w:val="en-US"/>
        </w:rPr>
        <w:t>This online learning package aims to</w:t>
      </w:r>
      <w:r w:rsidR="00FC4CF5" w:rsidRPr="00484EF4">
        <w:rPr>
          <w:rFonts w:ascii="InfoTextPro" w:hAnsi="InfoTextPro" w:cs="InfoTextPro"/>
          <w:lang w:val="en-US"/>
        </w:rPr>
        <w:t xml:space="preserve"> widen our curiosity and </w:t>
      </w:r>
      <w:r>
        <w:rPr>
          <w:rFonts w:ascii="InfoTextPro" w:hAnsi="InfoTextPro" w:cs="InfoTextPro"/>
          <w:lang w:val="en-US"/>
        </w:rPr>
        <w:t xml:space="preserve">help us </w:t>
      </w:r>
      <w:r w:rsidR="00FC4CF5" w:rsidRPr="00484EF4">
        <w:rPr>
          <w:rFonts w:ascii="InfoTextPro" w:hAnsi="InfoTextPro" w:cs="InfoTextPro"/>
          <w:lang w:val="en-US"/>
        </w:rPr>
        <w:t>consider how we can think about other cultures and identities in a curious, respectful, and equitable way. The more comfortable we get with respectful questioning and courageous conversations, the more effective our curiosity will be.</w:t>
      </w:r>
    </w:p>
    <w:p w14:paraId="0E82FE9D" w14:textId="48D14671" w:rsidR="00611635" w:rsidRPr="005C69A7" w:rsidRDefault="00611635" w:rsidP="005004E2">
      <w:pPr>
        <w:spacing w:after="0" w:line="240" w:lineRule="auto"/>
        <w:ind w:left="993"/>
        <w:rPr>
          <w:rFonts w:ascii="InfoTextPro" w:hAnsi="InfoTextPro" w:cs="InfoTextPro"/>
          <w:b/>
          <w:color w:val="38647C"/>
        </w:rPr>
      </w:pPr>
      <w:r w:rsidRPr="005C69A7">
        <w:rPr>
          <w:rFonts w:ascii="InfoTextPro" w:hAnsi="InfoTextPro" w:cs="InfoTextPro"/>
          <w:b/>
          <w:color w:val="38647C"/>
        </w:rPr>
        <w:t>Film one: What is cultural competence and who is responsible for embedding it in our working environments?</w:t>
      </w:r>
    </w:p>
    <w:p w14:paraId="1F88438E" w14:textId="0743333E" w:rsidR="00611635" w:rsidRPr="005C69A7" w:rsidRDefault="00611635" w:rsidP="005004E2">
      <w:pPr>
        <w:spacing w:after="0" w:line="240" w:lineRule="auto"/>
        <w:ind w:left="993"/>
        <w:rPr>
          <w:rFonts w:ascii="InfoTextPro" w:hAnsi="InfoTextPro" w:cs="InfoTextPro"/>
          <w:b/>
          <w:color w:val="38647C"/>
        </w:rPr>
      </w:pPr>
      <w:r w:rsidRPr="005C69A7">
        <w:rPr>
          <w:rFonts w:ascii="InfoTextPro" w:hAnsi="InfoTextPro" w:cs="InfoTextPro"/>
          <w:b/>
          <w:color w:val="38647C"/>
        </w:rPr>
        <w:t>Film two: Reflecting on how we create inclusive and equitable work places.</w:t>
      </w:r>
    </w:p>
    <w:p w14:paraId="656633C4" w14:textId="33314E30" w:rsidR="007B6912" w:rsidRPr="005C69A7" w:rsidRDefault="00611635" w:rsidP="005004E2">
      <w:pPr>
        <w:spacing w:after="0" w:line="240" w:lineRule="auto"/>
        <w:ind w:left="993"/>
        <w:rPr>
          <w:rFonts w:ascii="InfoTextPro" w:hAnsi="InfoTextPro" w:cs="InfoTextPro"/>
          <w:b/>
          <w:color w:val="38647C"/>
        </w:rPr>
      </w:pPr>
      <w:r w:rsidRPr="005C69A7">
        <w:rPr>
          <w:rFonts w:ascii="InfoTextPro" w:hAnsi="InfoTextPro" w:cs="InfoTextPro"/>
          <w:b/>
          <w:color w:val="38647C"/>
        </w:rPr>
        <w:t>Film three: Exploring concepts from systemic practice to support critical thinking and self-reflection.</w:t>
      </w:r>
    </w:p>
    <w:p w14:paraId="05915405" w14:textId="4284BD6A" w:rsidR="00611635" w:rsidRPr="005C69A7" w:rsidRDefault="00611635" w:rsidP="005004E2">
      <w:pPr>
        <w:spacing w:after="0" w:line="240" w:lineRule="auto"/>
        <w:ind w:left="993"/>
        <w:rPr>
          <w:rFonts w:ascii="InfoTextPro" w:hAnsi="InfoTextPro" w:cs="InfoTextPro"/>
          <w:b/>
          <w:color w:val="38647C"/>
        </w:rPr>
      </w:pPr>
      <w:r w:rsidRPr="005C69A7">
        <w:rPr>
          <w:rFonts w:ascii="InfoTextPro" w:hAnsi="InfoTextPro" w:cs="InfoTextPro"/>
          <w:b/>
          <w:color w:val="38647C"/>
        </w:rPr>
        <w:t>Film four: An introduction to intersectionality and how we can apply it to our work.</w:t>
      </w:r>
    </w:p>
    <w:p w14:paraId="1CDCC5E4" w14:textId="46736AD3" w:rsidR="00CE7825" w:rsidRPr="00484EF4" w:rsidRDefault="0062636D" w:rsidP="005004E2">
      <w:pPr>
        <w:spacing w:after="0" w:line="240" w:lineRule="auto"/>
        <w:ind w:left="993"/>
        <w:rPr>
          <w:rFonts w:ascii="InfoTextPro" w:hAnsi="InfoTextPro" w:cs="InfoTextPro"/>
        </w:rPr>
      </w:pPr>
      <w:r>
        <w:rPr>
          <w:rFonts w:ascii="InfoTextPro" w:hAnsi="InfoTextPro" w:cs="InfoTextPro"/>
          <w:bCs/>
          <w:noProof/>
          <w:lang w:eastAsia="en-GB"/>
        </w:rPr>
        <w:drawing>
          <wp:anchor distT="0" distB="0" distL="114300" distR="114300" simplePos="0" relativeHeight="251661312" behindDoc="1" locked="0" layoutInCell="1" allowOverlap="1" wp14:anchorId="575B87C7" wp14:editId="26C21255">
            <wp:simplePos x="0" y="0"/>
            <wp:positionH relativeFrom="column">
              <wp:posOffset>-349885</wp:posOffset>
            </wp:positionH>
            <wp:positionV relativeFrom="paragraph">
              <wp:posOffset>211455</wp:posOffset>
            </wp:positionV>
            <wp:extent cx="731520" cy="731520"/>
            <wp:effectExtent l="0" t="0" r="0" b="0"/>
            <wp:wrapTight wrapText="bothSides">
              <wp:wrapPolygon edited="0">
                <wp:start x="0" y="0"/>
                <wp:lineTo x="0" y="20813"/>
                <wp:lineTo x="20813" y="20813"/>
                <wp:lineTo x="208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page">
              <wp14:pctWidth>0</wp14:pctWidth>
            </wp14:sizeRelH>
            <wp14:sizeRelV relativeFrom="page">
              <wp14:pctHeight>0</wp14:pctHeight>
            </wp14:sizeRelV>
          </wp:anchor>
        </w:drawing>
      </w:r>
    </w:p>
    <w:p w14:paraId="292D42DA" w14:textId="465859A2" w:rsidR="00611635" w:rsidRPr="00611635" w:rsidRDefault="00273C95" w:rsidP="005004E2">
      <w:pPr>
        <w:spacing w:after="0" w:line="240" w:lineRule="auto"/>
        <w:ind w:left="993"/>
        <w:rPr>
          <w:rStyle w:val="Hyperlink"/>
          <w:rFonts w:ascii="InfoTextPro" w:hAnsi="InfoTextPro" w:cs="InfoTextPro"/>
          <w:b/>
          <w:color w:val="38647C"/>
          <w:sz w:val="24"/>
          <w:szCs w:val="24"/>
        </w:rPr>
      </w:pPr>
      <w:hyperlink r:id="rId13" w:history="1">
        <w:r w:rsidR="00FC4CF5" w:rsidRPr="00611635">
          <w:rPr>
            <w:rStyle w:val="Hyperlink"/>
            <w:rFonts w:ascii="InfoTextPro" w:hAnsi="InfoTextPro" w:cs="InfoTextPro"/>
            <w:b/>
            <w:color w:val="38647C"/>
            <w:sz w:val="24"/>
            <w:szCs w:val="24"/>
          </w:rPr>
          <w:t>Complexity and Challenge: triennial analysis of Serious Case Reviews (SCRs)</w:t>
        </w:r>
      </w:hyperlink>
    </w:p>
    <w:p w14:paraId="03C7D7BC" w14:textId="4BC2CA21" w:rsidR="00FC4CF5" w:rsidRPr="00484EF4" w:rsidRDefault="00FC4CF5" w:rsidP="005004E2">
      <w:pPr>
        <w:spacing w:after="0" w:line="240" w:lineRule="auto"/>
        <w:ind w:left="993"/>
        <w:rPr>
          <w:rFonts w:ascii="InfoTextPro" w:hAnsi="InfoTextPro" w:cs="InfoTextPro"/>
          <w:bCs/>
        </w:rPr>
      </w:pPr>
      <w:r w:rsidRPr="00484EF4">
        <w:rPr>
          <w:rFonts w:ascii="InfoTextPro" w:hAnsi="InfoTextPro" w:cs="InfoTextPro"/>
          <w:bCs/>
        </w:rPr>
        <w:t>This dedicated Research in Practice website brings together webinars, reports and videos to support your learning from the Serious Case Reviews 2014-2017 (published 2020). The material not only supports social care, but health, early help, the police, and education.</w:t>
      </w:r>
    </w:p>
    <w:p w14:paraId="15B32376" w14:textId="35D67668" w:rsidR="00645C9F" w:rsidRDefault="00645C9F" w:rsidP="005004E2">
      <w:pPr>
        <w:spacing w:after="0" w:line="240" w:lineRule="auto"/>
        <w:ind w:left="993"/>
        <w:rPr>
          <w:rFonts w:ascii="InfoTextPro" w:hAnsi="InfoTextPro" w:cs="InfoTextPro"/>
        </w:rPr>
      </w:pPr>
    </w:p>
    <w:p w14:paraId="0D2418D6" w14:textId="3351DE1A" w:rsidR="005004E2" w:rsidRPr="00484EF4" w:rsidRDefault="0062636D" w:rsidP="005004E2">
      <w:pPr>
        <w:spacing w:after="0" w:line="240" w:lineRule="auto"/>
        <w:ind w:left="993"/>
        <w:rPr>
          <w:rFonts w:ascii="InfoTextPro" w:hAnsi="InfoTextPro" w:cs="InfoTextPro"/>
        </w:rPr>
      </w:pPr>
      <w:r>
        <w:rPr>
          <w:rFonts w:ascii="InfoTextPro" w:eastAsia="Times New Roman" w:hAnsi="InfoTextPro" w:cs="InfoTextPro"/>
          <w:noProof/>
          <w:lang w:eastAsia="en-GB"/>
        </w:rPr>
        <w:drawing>
          <wp:anchor distT="0" distB="0" distL="114300" distR="114300" simplePos="0" relativeHeight="251662336" behindDoc="1" locked="0" layoutInCell="1" allowOverlap="1" wp14:anchorId="2CBEEBCD" wp14:editId="491B2AE6">
            <wp:simplePos x="0" y="0"/>
            <wp:positionH relativeFrom="column">
              <wp:posOffset>-331470</wp:posOffset>
            </wp:positionH>
            <wp:positionV relativeFrom="paragraph">
              <wp:posOffset>225425</wp:posOffset>
            </wp:positionV>
            <wp:extent cx="719455" cy="719455"/>
            <wp:effectExtent l="0" t="0" r="4445" b="4445"/>
            <wp:wrapTight wrapText="bothSides">
              <wp:wrapPolygon edited="0">
                <wp:start x="0" y="0"/>
                <wp:lineTo x="0" y="21162"/>
                <wp:lineTo x="21162" y="21162"/>
                <wp:lineTo x="211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_further_reading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123EFCE4" w14:textId="5E9272FB" w:rsidR="00611635" w:rsidRPr="00611635" w:rsidRDefault="00273C95" w:rsidP="005004E2">
      <w:pPr>
        <w:spacing w:after="0" w:line="240" w:lineRule="auto"/>
        <w:ind w:left="993"/>
        <w:rPr>
          <w:rStyle w:val="Hyperlink"/>
          <w:rFonts w:ascii="InfoTextPro" w:hAnsi="InfoTextPro" w:cs="InfoTextPro"/>
          <w:b/>
          <w:bCs/>
          <w:color w:val="38647C"/>
          <w:sz w:val="24"/>
          <w:szCs w:val="24"/>
        </w:rPr>
      </w:pPr>
      <w:hyperlink r:id="rId15" w:history="1">
        <w:r w:rsidR="00FC4CF5" w:rsidRPr="00611635">
          <w:rPr>
            <w:rStyle w:val="Hyperlink"/>
            <w:rFonts w:ascii="InfoTextPro" w:hAnsi="InfoTextPro" w:cs="InfoTextPro"/>
            <w:b/>
            <w:bCs/>
            <w:color w:val="38647C"/>
            <w:sz w:val="24"/>
            <w:szCs w:val="24"/>
          </w:rPr>
          <w:t>Case law and legal summaries</w:t>
        </w:r>
      </w:hyperlink>
    </w:p>
    <w:p w14:paraId="6374455E" w14:textId="1A3B59B9" w:rsidR="00C4096C" w:rsidRPr="00484EF4" w:rsidRDefault="00FC4CF5" w:rsidP="005004E2">
      <w:pPr>
        <w:spacing w:after="0" w:line="240" w:lineRule="auto"/>
        <w:ind w:left="993"/>
        <w:rPr>
          <w:rFonts w:ascii="InfoTextPro" w:eastAsia="Times New Roman" w:hAnsi="InfoTextPro" w:cs="InfoTextPro"/>
          <w:sz w:val="24"/>
          <w:szCs w:val="24"/>
        </w:rPr>
      </w:pPr>
      <w:r w:rsidRPr="00484EF4">
        <w:rPr>
          <w:rFonts w:ascii="InfoTextPro" w:hAnsi="InfoTextPro" w:cs="InfoTextPro"/>
        </w:rPr>
        <w:t xml:space="preserve">These monthly updates </w:t>
      </w:r>
      <w:r w:rsidRPr="00484EF4">
        <w:rPr>
          <w:rFonts w:ascii="InfoTextPro" w:eastAsia="Times New Roman" w:hAnsi="InfoTextPro" w:cs="InfoTextPro"/>
        </w:rPr>
        <w:t>provide a regular overview and analysis of selected cases, highlighting implications for children and young people's social care practice. They pull out reflections for our professional curiosity and link to further resources on themes highlighted by each case.</w:t>
      </w:r>
    </w:p>
    <w:p w14:paraId="79F37D8A" w14:textId="77777777" w:rsidR="005004E2" w:rsidRDefault="005004E2" w:rsidP="005004E2">
      <w:pPr>
        <w:pStyle w:val="Heading1"/>
        <w:spacing w:before="0" w:beforeAutospacing="0" w:after="0" w:afterAutospacing="0"/>
        <w:ind w:left="993"/>
        <w:rPr>
          <w:rFonts w:ascii="InfoTextPro" w:hAnsi="InfoTextPro" w:cs="InfoTextPro"/>
          <w:bCs w:val="0"/>
          <w:sz w:val="22"/>
          <w:szCs w:val="22"/>
        </w:rPr>
      </w:pPr>
    </w:p>
    <w:p w14:paraId="3CD98D67" w14:textId="77777777" w:rsidR="005004E2" w:rsidRDefault="005004E2" w:rsidP="005004E2">
      <w:pPr>
        <w:pStyle w:val="Heading1"/>
        <w:spacing w:before="0" w:beforeAutospacing="0" w:after="0" w:afterAutospacing="0"/>
        <w:ind w:left="993"/>
        <w:rPr>
          <w:rFonts w:ascii="InfoTextPro" w:hAnsi="InfoTextPro" w:cs="InfoTextPro"/>
          <w:bCs w:val="0"/>
          <w:sz w:val="22"/>
          <w:szCs w:val="22"/>
        </w:rPr>
      </w:pPr>
    </w:p>
    <w:p w14:paraId="19E99090" w14:textId="77777777" w:rsidR="00611635" w:rsidRPr="00611635" w:rsidRDefault="00EC0CF3" w:rsidP="005004E2">
      <w:pPr>
        <w:pStyle w:val="Heading1"/>
        <w:spacing w:before="0" w:beforeAutospacing="0" w:after="0" w:afterAutospacing="0"/>
        <w:ind w:left="993"/>
        <w:rPr>
          <w:rFonts w:ascii="InfoTextPro" w:hAnsi="InfoTextPro" w:cs="InfoTextPro"/>
          <w:bCs w:val="0"/>
          <w:color w:val="38647C"/>
          <w:sz w:val="24"/>
          <w:szCs w:val="24"/>
        </w:rPr>
      </w:pPr>
      <w:r w:rsidRPr="00611635">
        <w:rPr>
          <w:rFonts w:ascii="InfoTextPro" w:hAnsi="InfoTextPro" w:cs="InfoTextPro"/>
          <w:bCs w:val="0"/>
          <w:color w:val="38647C"/>
          <w:sz w:val="24"/>
          <w:szCs w:val="24"/>
        </w:rPr>
        <w:t>Quick reads</w:t>
      </w:r>
    </w:p>
    <w:p w14:paraId="28249158" w14:textId="456D8B76" w:rsidR="00EC0CF3" w:rsidRPr="0062636D" w:rsidRDefault="00273C95" w:rsidP="005004E2">
      <w:pPr>
        <w:pStyle w:val="Heading1"/>
        <w:spacing w:before="0" w:beforeAutospacing="0" w:after="0" w:afterAutospacing="0"/>
        <w:ind w:left="993"/>
        <w:rPr>
          <w:rFonts w:ascii="InfoTextPro" w:hAnsi="InfoTextPro" w:cs="InfoTextPro"/>
          <w:b w:val="0"/>
          <w:color w:val="38647C"/>
          <w:sz w:val="22"/>
          <w:szCs w:val="22"/>
        </w:rPr>
      </w:pPr>
      <w:hyperlink r:id="rId16" w:history="1">
        <w:r w:rsidR="00FC4CF5" w:rsidRPr="0062636D">
          <w:rPr>
            <w:rStyle w:val="Hyperlink"/>
            <w:rFonts w:ascii="InfoTextPro" w:hAnsi="InfoTextPro" w:cs="InfoTextPro"/>
            <w:b w:val="0"/>
            <w:color w:val="38647C"/>
            <w:sz w:val="22"/>
            <w:szCs w:val="22"/>
          </w:rPr>
          <w:t>The importance of reflective, curious and relational supervision: wave three of the PSDP</w:t>
        </w:r>
      </w:hyperlink>
      <w:r w:rsidR="00FC4CF5" w:rsidRPr="0062636D">
        <w:rPr>
          <w:rFonts w:ascii="InfoTextPro" w:hAnsi="InfoTextPro" w:cs="InfoTextPro"/>
          <w:b w:val="0"/>
          <w:color w:val="38647C"/>
          <w:sz w:val="22"/>
          <w:szCs w:val="22"/>
        </w:rPr>
        <w:t xml:space="preserve">; </w:t>
      </w:r>
      <w:hyperlink r:id="rId17" w:history="1">
        <w:r w:rsidR="00FC4CF5" w:rsidRPr="0062636D">
          <w:rPr>
            <w:rStyle w:val="Hyperlink"/>
            <w:rFonts w:ascii="InfoTextPro" w:hAnsi="InfoTextPro" w:cs="InfoTextPro"/>
            <w:b w:val="0"/>
            <w:color w:val="38647C"/>
            <w:sz w:val="22"/>
            <w:szCs w:val="22"/>
          </w:rPr>
          <w:t>Tackling child exploitation: leading with care, blurring boundaries and holding complexity, uncertainty and curiosity</w:t>
        </w:r>
      </w:hyperlink>
      <w:r w:rsidR="00FC4CF5" w:rsidRPr="0062636D">
        <w:rPr>
          <w:rFonts w:ascii="InfoTextPro" w:hAnsi="InfoTextPro" w:cs="InfoTextPro"/>
          <w:b w:val="0"/>
          <w:color w:val="38647C"/>
          <w:sz w:val="22"/>
          <w:szCs w:val="22"/>
        </w:rPr>
        <w:t xml:space="preserve">; </w:t>
      </w:r>
      <w:hyperlink r:id="rId18" w:history="1">
        <w:r w:rsidR="00824D6C" w:rsidRPr="0062636D">
          <w:rPr>
            <w:rStyle w:val="Hyperlink"/>
            <w:rFonts w:ascii="InfoTextPro" w:hAnsi="InfoTextPro" w:cs="InfoTextPro"/>
            <w:b w:val="0"/>
            <w:color w:val="38647C"/>
            <w:sz w:val="22"/>
            <w:szCs w:val="22"/>
          </w:rPr>
          <w:t>More than faith: Muslim heritage children, lived religion and curiosity</w:t>
        </w:r>
      </w:hyperlink>
      <w:r w:rsidR="00FC4CF5" w:rsidRPr="0062636D">
        <w:rPr>
          <w:rFonts w:ascii="InfoTextPro" w:hAnsi="InfoTextPro" w:cs="InfoTextPro"/>
          <w:b w:val="0"/>
          <w:color w:val="38647C"/>
          <w:sz w:val="22"/>
          <w:szCs w:val="22"/>
        </w:rPr>
        <w:t xml:space="preserve">; </w:t>
      </w:r>
      <w:hyperlink r:id="rId19" w:history="1">
        <w:r w:rsidR="00FC4CF5" w:rsidRPr="0062636D">
          <w:rPr>
            <w:rStyle w:val="Hyperlink"/>
            <w:rFonts w:ascii="InfoTextPro" w:hAnsi="InfoTextPro" w:cs="InfoTextPro"/>
            <w:b w:val="0"/>
            <w:color w:val="38647C"/>
            <w:sz w:val="22"/>
            <w:szCs w:val="22"/>
          </w:rPr>
          <w:t>Thinking about the impact of racism</w:t>
        </w:r>
      </w:hyperlink>
      <w:r w:rsidR="00FC4CF5" w:rsidRPr="0062636D">
        <w:rPr>
          <w:rFonts w:ascii="InfoTextPro" w:hAnsi="InfoTextPro" w:cs="InfoTextPro"/>
          <w:b w:val="0"/>
          <w:color w:val="38647C"/>
          <w:sz w:val="22"/>
          <w:szCs w:val="22"/>
        </w:rPr>
        <w:t xml:space="preserve">; </w:t>
      </w:r>
      <w:hyperlink r:id="rId20" w:history="1">
        <w:r w:rsidR="00FC4CF5" w:rsidRPr="0062636D">
          <w:rPr>
            <w:rStyle w:val="Hyperlink"/>
            <w:rFonts w:ascii="InfoTextPro" w:hAnsi="InfoTextPro" w:cs="InfoTextPro"/>
            <w:b w:val="0"/>
            <w:color w:val="38647C"/>
            <w:sz w:val="22"/>
            <w:szCs w:val="22"/>
          </w:rPr>
          <w:t>Exploring how neglect might interact with forms of sexual harm</w:t>
        </w:r>
      </w:hyperlink>
      <w:r w:rsidR="00FC4CF5" w:rsidRPr="0062636D">
        <w:rPr>
          <w:rFonts w:ascii="InfoTextPro" w:hAnsi="InfoTextPro" w:cs="InfoTextPro"/>
          <w:b w:val="0"/>
          <w:color w:val="38647C"/>
          <w:sz w:val="22"/>
          <w:szCs w:val="22"/>
        </w:rPr>
        <w:t xml:space="preserve">     </w:t>
      </w:r>
    </w:p>
    <w:p w14:paraId="43E7A152" w14:textId="77777777" w:rsidR="00EC0CF3" w:rsidRDefault="00EC0CF3" w:rsidP="005C69A7">
      <w:pPr>
        <w:spacing w:after="0" w:line="240" w:lineRule="auto"/>
        <w:ind w:left="993"/>
      </w:pPr>
    </w:p>
    <w:tbl>
      <w:tblPr>
        <w:tblW w:w="9889" w:type="dxa"/>
        <w:tblInd w:w="-318" w:type="dxa"/>
        <w:tblBorders>
          <w:top w:val="single" w:sz="24" w:space="0" w:color="38647C"/>
          <w:left w:val="single" w:sz="24" w:space="0" w:color="38647C"/>
          <w:bottom w:val="single" w:sz="24" w:space="0" w:color="38647C"/>
          <w:right w:val="single" w:sz="24" w:space="0" w:color="38647C"/>
          <w:insideH w:val="single" w:sz="24" w:space="0" w:color="38647C"/>
          <w:insideV w:val="single" w:sz="24" w:space="0" w:color="38647C"/>
        </w:tblBorders>
        <w:tblCellMar>
          <w:left w:w="0" w:type="dxa"/>
          <w:right w:w="0" w:type="dxa"/>
        </w:tblCellMar>
        <w:tblLook w:val="04A0" w:firstRow="1" w:lastRow="0" w:firstColumn="1" w:lastColumn="0" w:noHBand="0" w:noVBand="1"/>
      </w:tblPr>
      <w:tblGrid>
        <w:gridCol w:w="9889"/>
      </w:tblGrid>
      <w:tr w:rsidR="005C69A7" w:rsidRPr="005A6095" w14:paraId="4EBCDC3E" w14:textId="77777777" w:rsidTr="005C69A7">
        <w:trPr>
          <w:trHeight w:val="825"/>
        </w:trPr>
        <w:tc>
          <w:tcPr>
            <w:tcW w:w="9889" w:type="dxa"/>
            <w:tcMar>
              <w:top w:w="0" w:type="dxa"/>
              <w:left w:w="108" w:type="dxa"/>
              <w:bottom w:w="0" w:type="dxa"/>
              <w:right w:w="108" w:type="dxa"/>
            </w:tcMar>
          </w:tcPr>
          <w:p w14:paraId="39860640" w14:textId="77777777" w:rsidR="005C69A7" w:rsidRDefault="005C69A7" w:rsidP="005C69A7">
            <w:pPr>
              <w:spacing w:after="0" w:line="240" w:lineRule="auto"/>
              <w:jc w:val="center"/>
              <w:rPr>
                <w:rFonts w:ascii="InfoTextPro" w:hAnsi="InfoTextPro" w:cs="InfoTextPro"/>
                <w:color w:val="000000"/>
              </w:rPr>
            </w:pPr>
          </w:p>
          <w:p w14:paraId="65AA8982" w14:textId="77777777" w:rsidR="005C69A7" w:rsidRPr="00BB1ACC" w:rsidRDefault="005C69A7" w:rsidP="005C69A7">
            <w:pPr>
              <w:spacing w:after="0" w:line="240" w:lineRule="auto"/>
              <w:jc w:val="center"/>
              <w:rPr>
                <w:rFonts w:ascii="InfoTextPro" w:hAnsi="InfoTextPro" w:cs="InfoTextPro"/>
                <w:color w:val="212121"/>
                <w:sz w:val="24"/>
                <w:szCs w:val="24"/>
              </w:rPr>
            </w:pPr>
            <w:r w:rsidRPr="00BB1ACC">
              <w:rPr>
                <w:rFonts w:ascii="InfoTextPro" w:hAnsi="InfoTextPro" w:cs="InfoTextPro"/>
                <w:color w:val="000000"/>
                <w:sz w:val="24"/>
                <w:szCs w:val="24"/>
              </w:rPr>
              <w:t xml:space="preserve">This is a selection of Research in Practice resources on this topic. You need to be logged in to a Research in Practice account to access the resources via the links in this document. </w:t>
            </w:r>
            <w:hyperlink r:id="rId21" w:history="1">
              <w:r w:rsidRPr="00BB1ACC">
                <w:rPr>
                  <w:rStyle w:val="Hyperlink"/>
                  <w:rFonts w:ascii="InfoTextPro" w:hAnsi="InfoTextPro" w:cs="InfoTextPro"/>
                  <w:color w:val="38647C"/>
                  <w:sz w:val="24"/>
                  <w:szCs w:val="24"/>
                </w:rPr>
                <w:t>Log in here</w:t>
              </w:r>
            </w:hyperlink>
            <w:r w:rsidRPr="00BB1ACC">
              <w:rPr>
                <w:rFonts w:ascii="InfoTextPro" w:hAnsi="InfoTextPro" w:cs="InfoTextPro"/>
                <w:bCs/>
                <w:color w:val="000000"/>
                <w:sz w:val="24"/>
                <w:szCs w:val="24"/>
              </w:rPr>
              <w:t xml:space="preserve"> if you have an account already, or </w:t>
            </w:r>
            <w:hyperlink r:id="rId22" w:history="1">
              <w:r w:rsidRPr="00BB1ACC">
                <w:rPr>
                  <w:rStyle w:val="Hyperlink"/>
                  <w:rFonts w:ascii="InfoTextPro" w:hAnsi="InfoTextPro" w:cs="InfoTextPro"/>
                  <w:color w:val="38647C"/>
                  <w:sz w:val="24"/>
                  <w:szCs w:val="24"/>
                </w:rPr>
                <w:t>create one here</w:t>
              </w:r>
            </w:hyperlink>
            <w:r w:rsidRPr="00BB1ACC">
              <w:rPr>
                <w:rFonts w:ascii="InfoTextPro" w:hAnsi="InfoTextPro" w:cs="InfoTextPro"/>
                <w:color w:val="000000"/>
                <w:sz w:val="24"/>
                <w:szCs w:val="24"/>
              </w:rPr>
              <w:t>.</w:t>
            </w:r>
          </w:p>
          <w:p w14:paraId="5A6A2C46" w14:textId="77777777" w:rsidR="005C69A7" w:rsidRDefault="005C69A7" w:rsidP="005C69A7">
            <w:pPr>
              <w:spacing w:after="0" w:line="240" w:lineRule="auto"/>
              <w:jc w:val="center"/>
              <w:rPr>
                <w:rFonts w:ascii="InfoTextPro" w:hAnsi="InfoTextPro" w:cs="InfoTextPro"/>
                <w:color w:val="38647C"/>
                <w:sz w:val="24"/>
                <w:szCs w:val="24"/>
              </w:rPr>
            </w:pPr>
            <w:r w:rsidRPr="00BB1ACC">
              <w:rPr>
                <w:rFonts w:ascii="InfoTextPro" w:hAnsi="InfoTextPro" w:cs="InfoTextPro"/>
                <w:color w:val="000000"/>
                <w:sz w:val="24"/>
                <w:szCs w:val="24"/>
              </w:rPr>
              <w:t xml:space="preserve">If you have any questions, please email </w:t>
            </w:r>
            <w:hyperlink r:id="rId23" w:history="1">
              <w:r w:rsidRPr="00BB1ACC">
                <w:rPr>
                  <w:rStyle w:val="Hyperlink"/>
                  <w:rFonts w:ascii="InfoTextPro" w:hAnsi="InfoTextPro" w:cs="InfoTextPro"/>
                  <w:color w:val="38647C"/>
                  <w:sz w:val="24"/>
                  <w:szCs w:val="24"/>
                </w:rPr>
                <w:t>ask@researchinpractice.org.uk</w:t>
              </w:r>
            </w:hyperlink>
          </w:p>
          <w:p w14:paraId="3631506C" w14:textId="77777777" w:rsidR="005C69A7" w:rsidRDefault="005C69A7" w:rsidP="005C69A7">
            <w:pPr>
              <w:spacing w:after="0" w:line="240" w:lineRule="auto"/>
              <w:jc w:val="center"/>
              <w:rPr>
                <w:rFonts w:ascii="InfoTextPro" w:hAnsi="InfoTextPro" w:cs="InfoTextPro"/>
                <w:color w:val="38647C"/>
                <w:sz w:val="24"/>
                <w:szCs w:val="24"/>
              </w:rPr>
            </w:pPr>
          </w:p>
          <w:p w14:paraId="1CE714A8" w14:textId="77777777" w:rsidR="005C69A7" w:rsidRPr="004D256F" w:rsidRDefault="005C69A7" w:rsidP="005C69A7">
            <w:pPr>
              <w:spacing w:after="0" w:line="240" w:lineRule="auto"/>
              <w:jc w:val="center"/>
              <w:rPr>
                <w:rFonts w:ascii="InfoTextPro" w:hAnsi="InfoTextPro" w:cs="InfoTextPro"/>
                <w:bCs/>
                <w:color w:val="000000"/>
                <w:sz w:val="24"/>
                <w:szCs w:val="24"/>
              </w:rPr>
            </w:pPr>
            <w:r w:rsidRPr="004D256F">
              <w:rPr>
                <w:rFonts w:ascii="InfoTextPro" w:hAnsi="InfoTextPro" w:cs="InfoTextPro"/>
                <w:bCs/>
                <w:color w:val="000000"/>
                <w:sz w:val="24"/>
                <w:szCs w:val="24"/>
              </w:rPr>
              <w:t>Don’t forget you can log what you read, watch or listen</w:t>
            </w:r>
            <w:r>
              <w:rPr>
                <w:rFonts w:ascii="InfoTextPro" w:hAnsi="InfoTextPro" w:cs="InfoTextPro"/>
                <w:bCs/>
                <w:color w:val="000000"/>
                <w:sz w:val="24"/>
                <w:szCs w:val="24"/>
              </w:rPr>
              <w:t xml:space="preserve"> to</w:t>
            </w:r>
            <w:r w:rsidRPr="004D256F">
              <w:rPr>
                <w:rFonts w:ascii="InfoTextPro" w:hAnsi="InfoTextPro" w:cs="InfoTextPro"/>
                <w:bCs/>
                <w:color w:val="000000"/>
                <w:sz w:val="24"/>
                <w:szCs w:val="24"/>
              </w:rPr>
              <w:t xml:space="preserve"> and record reflections on your </w:t>
            </w:r>
            <w:hyperlink r:id="rId24" w:history="1">
              <w:proofErr w:type="spellStart"/>
              <w:r w:rsidRPr="004D256F">
                <w:rPr>
                  <w:rStyle w:val="Hyperlink"/>
                  <w:rFonts w:ascii="InfoTextPro" w:hAnsi="InfoTextPro" w:cs="InfoTextPro"/>
                  <w:color w:val="38647C"/>
                  <w:sz w:val="24"/>
                  <w:szCs w:val="24"/>
                </w:rPr>
                <w:t>MyCPD</w:t>
              </w:r>
              <w:proofErr w:type="spellEnd"/>
            </w:hyperlink>
            <w:r w:rsidRPr="004D256F">
              <w:rPr>
                <w:rStyle w:val="Hyperlink"/>
                <w:rFonts w:ascii="InfoTextPro" w:hAnsi="InfoTextPro" w:cs="InfoTextPro"/>
                <w:color w:val="38647C"/>
                <w:sz w:val="24"/>
                <w:szCs w:val="24"/>
              </w:rPr>
              <w:t xml:space="preserve"> </w:t>
            </w:r>
            <w:r w:rsidRPr="004D256F">
              <w:rPr>
                <w:rFonts w:ascii="InfoTextPro" w:hAnsi="InfoTextPro" w:cs="InfoTextPro"/>
                <w:bCs/>
                <w:color w:val="000000"/>
                <w:sz w:val="24"/>
                <w:szCs w:val="24"/>
              </w:rPr>
              <w:t>log using the button on each resource page.</w:t>
            </w:r>
          </w:p>
          <w:p w14:paraId="68102734" w14:textId="77777777" w:rsidR="005C69A7" w:rsidRPr="005A6095" w:rsidRDefault="005C69A7" w:rsidP="005C69A7">
            <w:pPr>
              <w:spacing w:after="0" w:line="240" w:lineRule="auto"/>
              <w:jc w:val="center"/>
              <w:rPr>
                <w:rFonts w:ascii="InfoTextPro" w:hAnsi="InfoTextPro" w:cs="InfoTextPro"/>
                <w:color w:val="212121"/>
              </w:rPr>
            </w:pPr>
          </w:p>
        </w:tc>
      </w:tr>
    </w:tbl>
    <w:p w14:paraId="52074506" w14:textId="77777777" w:rsidR="005C69A7" w:rsidRPr="00EC0CF3" w:rsidRDefault="005C69A7" w:rsidP="005C69A7">
      <w:pPr>
        <w:spacing w:after="0" w:line="240" w:lineRule="auto"/>
        <w:ind w:left="993"/>
      </w:pPr>
    </w:p>
    <w:sectPr w:rsidR="005C69A7" w:rsidRPr="00EC0CF3" w:rsidSect="000F6D58">
      <w:headerReference w:type="default" r:id="rId25"/>
      <w:footerReference w:type="default" r:id="rId26"/>
      <w:pgSz w:w="11906" w:h="16838"/>
      <w:pgMar w:top="993" w:right="141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E40A9" w14:textId="77777777" w:rsidR="00273C95" w:rsidRDefault="00273C95" w:rsidP="0014053D">
      <w:pPr>
        <w:spacing w:after="0" w:line="240" w:lineRule="auto"/>
      </w:pPr>
      <w:r>
        <w:separator/>
      </w:r>
    </w:p>
  </w:endnote>
  <w:endnote w:type="continuationSeparator" w:id="0">
    <w:p w14:paraId="1FA51895" w14:textId="77777777" w:rsidR="00273C95" w:rsidRDefault="00273C95" w:rsidP="0014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InfoTextPro">
    <w:panose1 w:val="00000000000000000000"/>
    <w:charset w:val="00"/>
    <w:family w:val="swiss"/>
    <w:notTrueType/>
    <w:pitch w:val="variable"/>
    <w:sig w:usb0="A00000FF" w:usb1="4000207B" w:usb2="00000008"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6C9FB" w14:textId="77777777" w:rsidR="008F0B8A" w:rsidRPr="005004E2" w:rsidRDefault="008F0B8A">
    <w:pPr>
      <w:pStyle w:val="Footer"/>
      <w:rPr>
        <w:rFonts w:ascii="InfoTextPro" w:hAnsi="InfoTextPro" w:cs="InfoTextPro"/>
      </w:rPr>
    </w:pPr>
    <w:r w:rsidRPr="005004E2">
      <w:rPr>
        <w:rFonts w:ascii="InfoTextPro" w:eastAsiaTheme="majorEastAsia" w:hAnsi="InfoTextPro" w:cs="InfoTextPro"/>
        <w:b/>
        <w:color w:val="38647C"/>
        <w:sz w:val="28"/>
        <w:szCs w:val="28"/>
      </w:rPr>
      <w:t>researchinpractice.org.uk</w:t>
    </w:r>
    <w:r w:rsidRPr="005004E2">
      <w:rPr>
        <w:rFonts w:ascii="InfoTextPro" w:eastAsiaTheme="majorEastAsia" w:hAnsi="InfoTextPro" w:cs="InfoTextPro"/>
        <w:b/>
        <w:color w:val="00A4C2"/>
        <w:sz w:val="28"/>
        <w:szCs w:val="28"/>
      </w:rPr>
      <w:tab/>
    </w:r>
    <w:r w:rsidRPr="005004E2">
      <w:rPr>
        <w:rFonts w:ascii="InfoTextPro" w:eastAsiaTheme="majorEastAsia" w:hAnsi="InfoTextPro" w:cs="InfoTextPro"/>
        <w:b/>
        <w:color w:val="00A4C2"/>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5E278" w14:textId="77777777" w:rsidR="00273C95" w:rsidRDefault="00273C95" w:rsidP="0014053D">
      <w:pPr>
        <w:spacing w:after="0" w:line="240" w:lineRule="auto"/>
      </w:pPr>
      <w:r>
        <w:separator/>
      </w:r>
    </w:p>
  </w:footnote>
  <w:footnote w:type="continuationSeparator" w:id="0">
    <w:p w14:paraId="10CA5CC8" w14:textId="77777777" w:rsidR="00273C95" w:rsidRDefault="00273C95" w:rsidP="00140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1142F" w14:textId="77777777" w:rsidR="008F0B8A" w:rsidRDefault="008F0B8A">
    <w:pPr>
      <w:pStyle w:val="Header"/>
    </w:pPr>
    <w:r>
      <w:rPr>
        <w:noProof/>
        <w:lang w:eastAsia="en-GB"/>
      </w:rPr>
      <w:drawing>
        <wp:anchor distT="0" distB="0" distL="114300" distR="114300" simplePos="0" relativeHeight="251658240" behindDoc="0" locked="0" layoutInCell="1" allowOverlap="1" wp14:anchorId="461FEC9B" wp14:editId="5D4CCFAA">
          <wp:simplePos x="0" y="0"/>
          <wp:positionH relativeFrom="column">
            <wp:posOffset>-222250</wp:posOffset>
          </wp:positionH>
          <wp:positionV relativeFrom="paragraph">
            <wp:posOffset>-113030</wp:posOffset>
          </wp:positionV>
          <wp:extent cx="1800000" cy="709200"/>
          <wp:effectExtent l="0" t="0" r="0" b="0"/>
          <wp:wrapSquare wrapText="bothSides"/>
          <wp:docPr id="16" name="Picture 0" descr="Screen Shot 2020-08-14 at 14.4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8-14 at 14.44.29.png"/>
                  <pic:cNvPicPr/>
                </pic:nvPicPr>
                <pic:blipFill>
                  <a:blip r:embed="rId1">
                    <a:extLst>
                      <a:ext uri="{28A0092B-C50C-407E-A947-70E740481C1C}">
                        <a14:useLocalDpi xmlns:a14="http://schemas.microsoft.com/office/drawing/2010/main" val="0"/>
                      </a:ext>
                    </a:extLst>
                  </a:blip>
                  <a:stretch>
                    <a:fillRect/>
                  </a:stretch>
                </pic:blipFill>
                <pic:spPr>
                  <a:xfrm>
                    <a:off x="0" y="0"/>
                    <a:ext cx="1800000" cy="709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76BD5"/>
    <w:multiLevelType w:val="multilevel"/>
    <w:tmpl w:val="5316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82FA5"/>
    <w:multiLevelType w:val="multilevel"/>
    <w:tmpl w:val="2EF2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03BDD"/>
    <w:multiLevelType w:val="multilevel"/>
    <w:tmpl w:val="BC30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F6"/>
    <w:rsid w:val="0002382A"/>
    <w:rsid w:val="00082EDD"/>
    <w:rsid w:val="00083EDF"/>
    <w:rsid w:val="000B2EFA"/>
    <w:rsid w:val="000F6D58"/>
    <w:rsid w:val="00106750"/>
    <w:rsid w:val="0014053D"/>
    <w:rsid w:val="0015579F"/>
    <w:rsid w:val="00156DE2"/>
    <w:rsid w:val="001A293F"/>
    <w:rsid w:val="001E052E"/>
    <w:rsid w:val="002018AD"/>
    <w:rsid w:val="00213D43"/>
    <w:rsid w:val="00273C95"/>
    <w:rsid w:val="00277FC4"/>
    <w:rsid w:val="00295CB3"/>
    <w:rsid w:val="002C4060"/>
    <w:rsid w:val="0036115F"/>
    <w:rsid w:val="003B2A14"/>
    <w:rsid w:val="003D7078"/>
    <w:rsid w:val="003E2DE3"/>
    <w:rsid w:val="003F628F"/>
    <w:rsid w:val="00432B1E"/>
    <w:rsid w:val="00456214"/>
    <w:rsid w:val="004573EB"/>
    <w:rsid w:val="00481A98"/>
    <w:rsid w:val="00482E14"/>
    <w:rsid w:val="00484EF4"/>
    <w:rsid w:val="004D5CD5"/>
    <w:rsid w:val="004E4A7C"/>
    <w:rsid w:val="004F5541"/>
    <w:rsid w:val="005004E2"/>
    <w:rsid w:val="00544F56"/>
    <w:rsid w:val="00567C35"/>
    <w:rsid w:val="00595044"/>
    <w:rsid w:val="005C69A7"/>
    <w:rsid w:val="005E7873"/>
    <w:rsid w:val="005E7E91"/>
    <w:rsid w:val="00611635"/>
    <w:rsid w:val="0062636D"/>
    <w:rsid w:val="00645C9F"/>
    <w:rsid w:val="006A0CA2"/>
    <w:rsid w:val="006F38D4"/>
    <w:rsid w:val="006F62C7"/>
    <w:rsid w:val="0072294C"/>
    <w:rsid w:val="0073737A"/>
    <w:rsid w:val="00746A9F"/>
    <w:rsid w:val="00754F82"/>
    <w:rsid w:val="00795677"/>
    <w:rsid w:val="007B6912"/>
    <w:rsid w:val="007D1307"/>
    <w:rsid w:val="00821C43"/>
    <w:rsid w:val="00824D6C"/>
    <w:rsid w:val="00832F7D"/>
    <w:rsid w:val="008358DC"/>
    <w:rsid w:val="00837496"/>
    <w:rsid w:val="008616AB"/>
    <w:rsid w:val="00881AE8"/>
    <w:rsid w:val="008F0B8A"/>
    <w:rsid w:val="009246E9"/>
    <w:rsid w:val="00926EA6"/>
    <w:rsid w:val="00963934"/>
    <w:rsid w:val="00975E53"/>
    <w:rsid w:val="009839DE"/>
    <w:rsid w:val="00994193"/>
    <w:rsid w:val="009B7D9C"/>
    <w:rsid w:val="009C61F6"/>
    <w:rsid w:val="00A072F1"/>
    <w:rsid w:val="00A23CCE"/>
    <w:rsid w:val="00A24947"/>
    <w:rsid w:val="00A65E09"/>
    <w:rsid w:val="00A86194"/>
    <w:rsid w:val="00AD32B2"/>
    <w:rsid w:val="00AF67B0"/>
    <w:rsid w:val="00B205E9"/>
    <w:rsid w:val="00B32655"/>
    <w:rsid w:val="00BC2AEC"/>
    <w:rsid w:val="00BC71EF"/>
    <w:rsid w:val="00C4096C"/>
    <w:rsid w:val="00C922E6"/>
    <w:rsid w:val="00C97791"/>
    <w:rsid w:val="00CB0F9B"/>
    <w:rsid w:val="00CE7825"/>
    <w:rsid w:val="00D36DBB"/>
    <w:rsid w:val="00D64825"/>
    <w:rsid w:val="00D712EA"/>
    <w:rsid w:val="00D7529B"/>
    <w:rsid w:val="00D97161"/>
    <w:rsid w:val="00DB17AD"/>
    <w:rsid w:val="00DF7BF6"/>
    <w:rsid w:val="00E10519"/>
    <w:rsid w:val="00E35148"/>
    <w:rsid w:val="00EA09C6"/>
    <w:rsid w:val="00EA0C57"/>
    <w:rsid w:val="00EB5424"/>
    <w:rsid w:val="00EC0CF3"/>
    <w:rsid w:val="00EE36B5"/>
    <w:rsid w:val="00F95FF2"/>
    <w:rsid w:val="00FB2F61"/>
    <w:rsid w:val="00FB41B1"/>
    <w:rsid w:val="00FC41A2"/>
    <w:rsid w:val="00FC4CF5"/>
    <w:rsid w:val="00FC6FB5"/>
    <w:rsid w:val="00FD6EA4"/>
    <w:rsid w:val="66C11A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B835B"/>
  <w15:docId w15:val="{48E7E070-D36F-814F-B50F-BC1184E8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DBB"/>
  </w:style>
  <w:style w:type="paragraph" w:styleId="Heading1">
    <w:name w:val="heading 1"/>
    <w:basedOn w:val="Normal"/>
    <w:link w:val="Heading1Char"/>
    <w:uiPriority w:val="9"/>
    <w:qFormat/>
    <w:rsid w:val="00FB2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E105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F61"/>
    <w:rPr>
      <w:rFonts w:ascii="Times New Roman" w:eastAsia="Times New Roman" w:hAnsi="Times New Roman" w:cs="Times New Roman"/>
      <w:b/>
      <w:bCs/>
      <w:kern w:val="36"/>
      <w:sz w:val="48"/>
      <w:szCs w:val="48"/>
      <w:lang w:eastAsia="en-GB"/>
    </w:rPr>
  </w:style>
  <w:style w:type="character" w:customStyle="1" w:styleId="uppercase">
    <w:name w:val="uppercase"/>
    <w:basedOn w:val="DefaultParagraphFont"/>
    <w:rsid w:val="00FB2F61"/>
  </w:style>
  <w:style w:type="character" w:customStyle="1" w:styleId="apple-converted-space">
    <w:name w:val="apple-converted-space"/>
    <w:basedOn w:val="DefaultParagraphFont"/>
    <w:rsid w:val="00FB2F61"/>
  </w:style>
  <w:style w:type="character" w:styleId="Strong">
    <w:name w:val="Strong"/>
    <w:basedOn w:val="DefaultParagraphFont"/>
    <w:uiPriority w:val="22"/>
    <w:qFormat/>
    <w:rsid w:val="00FB2F61"/>
    <w:rPr>
      <w:b/>
      <w:bCs/>
    </w:rPr>
  </w:style>
  <w:style w:type="character" w:styleId="Hyperlink">
    <w:name w:val="Hyperlink"/>
    <w:basedOn w:val="DefaultParagraphFont"/>
    <w:uiPriority w:val="99"/>
    <w:unhideWhenUsed/>
    <w:rsid w:val="00FB2F61"/>
    <w:rPr>
      <w:color w:val="0563C1" w:themeColor="hyperlink"/>
      <w:u w:val="single"/>
    </w:rPr>
  </w:style>
  <w:style w:type="character" w:styleId="FollowedHyperlink">
    <w:name w:val="FollowedHyperlink"/>
    <w:basedOn w:val="DefaultParagraphFont"/>
    <w:uiPriority w:val="99"/>
    <w:semiHidden/>
    <w:unhideWhenUsed/>
    <w:rsid w:val="00795677"/>
    <w:rPr>
      <w:color w:val="954F72" w:themeColor="followedHyperlink"/>
      <w:u w:val="single"/>
    </w:rPr>
  </w:style>
  <w:style w:type="paragraph" w:styleId="Header">
    <w:name w:val="header"/>
    <w:basedOn w:val="Normal"/>
    <w:link w:val="HeaderChar"/>
    <w:uiPriority w:val="99"/>
    <w:unhideWhenUsed/>
    <w:rsid w:val="00140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53D"/>
  </w:style>
  <w:style w:type="paragraph" w:styleId="Footer">
    <w:name w:val="footer"/>
    <w:basedOn w:val="Normal"/>
    <w:link w:val="FooterChar"/>
    <w:uiPriority w:val="99"/>
    <w:unhideWhenUsed/>
    <w:rsid w:val="00140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53D"/>
  </w:style>
  <w:style w:type="table" w:styleId="TableGrid">
    <w:name w:val="Table Grid"/>
    <w:basedOn w:val="TableNormal"/>
    <w:uiPriority w:val="39"/>
    <w:rsid w:val="0008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358DC"/>
    <w:rPr>
      <w:color w:val="808080"/>
      <w:shd w:val="clear" w:color="auto" w:fill="E6E6E6"/>
    </w:rPr>
  </w:style>
  <w:style w:type="character" w:customStyle="1" w:styleId="Heading3Char">
    <w:name w:val="Heading 3 Char"/>
    <w:basedOn w:val="DefaultParagraphFont"/>
    <w:link w:val="Heading3"/>
    <w:uiPriority w:val="9"/>
    <w:rsid w:val="00E1051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rsid w:val="003E2DE3"/>
    <w:pPr>
      <w:spacing w:beforeLines="1" w:afterLines="1" w:line="240" w:lineRule="auto"/>
    </w:pPr>
    <w:rPr>
      <w:rFonts w:ascii="Times" w:hAnsi="Times" w:cs="Times New Roman"/>
      <w:sz w:val="20"/>
      <w:szCs w:val="20"/>
    </w:rPr>
  </w:style>
  <w:style w:type="character" w:customStyle="1" w:styleId="currenthithighlight">
    <w:name w:val="currenthithighlight"/>
    <w:basedOn w:val="DefaultParagraphFont"/>
    <w:rsid w:val="00645C9F"/>
  </w:style>
  <w:style w:type="character" w:customStyle="1" w:styleId="highlight">
    <w:name w:val="highlight"/>
    <w:basedOn w:val="DefaultParagraphFont"/>
    <w:rsid w:val="00645C9F"/>
  </w:style>
  <w:style w:type="character" w:customStyle="1" w:styleId="UnresolvedMention">
    <w:name w:val="Unresolved Mention"/>
    <w:basedOn w:val="DefaultParagraphFont"/>
    <w:uiPriority w:val="99"/>
    <w:semiHidden/>
    <w:unhideWhenUsed/>
    <w:rsid w:val="00EC0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3803">
      <w:bodyDiv w:val="1"/>
      <w:marLeft w:val="0"/>
      <w:marRight w:val="0"/>
      <w:marTop w:val="0"/>
      <w:marBottom w:val="0"/>
      <w:divBdr>
        <w:top w:val="none" w:sz="0" w:space="0" w:color="auto"/>
        <w:left w:val="none" w:sz="0" w:space="0" w:color="auto"/>
        <w:bottom w:val="none" w:sz="0" w:space="0" w:color="auto"/>
        <w:right w:val="none" w:sz="0" w:space="0" w:color="auto"/>
      </w:divBdr>
    </w:div>
    <w:div w:id="183400760">
      <w:bodyDiv w:val="1"/>
      <w:marLeft w:val="0"/>
      <w:marRight w:val="0"/>
      <w:marTop w:val="0"/>
      <w:marBottom w:val="0"/>
      <w:divBdr>
        <w:top w:val="none" w:sz="0" w:space="0" w:color="auto"/>
        <w:left w:val="none" w:sz="0" w:space="0" w:color="auto"/>
        <w:bottom w:val="none" w:sz="0" w:space="0" w:color="auto"/>
        <w:right w:val="none" w:sz="0" w:space="0" w:color="auto"/>
      </w:divBdr>
    </w:div>
    <w:div w:id="402601057">
      <w:bodyDiv w:val="1"/>
      <w:marLeft w:val="0"/>
      <w:marRight w:val="0"/>
      <w:marTop w:val="0"/>
      <w:marBottom w:val="0"/>
      <w:divBdr>
        <w:top w:val="none" w:sz="0" w:space="0" w:color="auto"/>
        <w:left w:val="none" w:sz="0" w:space="0" w:color="auto"/>
        <w:bottom w:val="none" w:sz="0" w:space="0" w:color="auto"/>
        <w:right w:val="none" w:sz="0" w:space="0" w:color="auto"/>
      </w:divBdr>
    </w:div>
    <w:div w:id="601373581">
      <w:bodyDiv w:val="1"/>
      <w:marLeft w:val="0"/>
      <w:marRight w:val="0"/>
      <w:marTop w:val="0"/>
      <w:marBottom w:val="0"/>
      <w:divBdr>
        <w:top w:val="none" w:sz="0" w:space="0" w:color="auto"/>
        <w:left w:val="none" w:sz="0" w:space="0" w:color="auto"/>
        <w:bottom w:val="none" w:sz="0" w:space="0" w:color="auto"/>
        <w:right w:val="none" w:sz="0" w:space="0" w:color="auto"/>
      </w:divBdr>
    </w:div>
    <w:div w:id="617300225">
      <w:bodyDiv w:val="1"/>
      <w:marLeft w:val="0"/>
      <w:marRight w:val="0"/>
      <w:marTop w:val="0"/>
      <w:marBottom w:val="0"/>
      <w:divBdr>
        <w:top w:val="none" w:sz="0" w:space="0" w:color="auto"/>
        <w:left w:val="none" w:sz="0" w:space="0" w:color="auto"/>
        <w:bottom w:val="none" w:sz="0" w:space="0" w:color="auto"/>
        <w:right w:val="none" w:sz="0" w:space="0" w:color="auto"/>
      </w:divBdr>
    </w:div>
    <w:div w:id="697238676">
      <w:bodyDiv w:val="1"/>
      <w:marLeft w:val="0"/>
      <w:marRight w:val="0"/>
      <w:marTop w:val="0"/>
      <w:marBottom w:val="0"/>
      <w:divBdr>
        <w:top w:val="none" w:sz="0" w:space="0" w:color="auto"/>
        <w:left w:val="none" w:sz="0" w:space="0" w:color="auto"/>
        <w:bottom w:val="none" w:sz="0" w:space="0" w:color="auto"/>
        <w:right w:val="none" w:sz="0" w:space="0" w:color="auto"/>
      </w:divBdr>
    </w:div>
    <w:div w:id="913710539">
      <w:bodyDiv w:val="1"/>
      <w:marLeft w:val="0"/>
      <w:marRight w:val="0"/>
      <w:marTop w:val="0"/>
      <w:marBottom w:val="0"/>
      <w:divBdr>
        <w:top w:val="none" w:sz="0" w:space="0" w:color="auto"/>
        <w:left w:val="none" w:sz="0" w:space="0" w:color="auto"/>
        <w:bottom w:val="none" w:sz="0" w:space="0" w:color="auto"/>
        <w:right w:val="none" w:sz="0" w:space="0" w:color="auto"/>
      </w:divBdr>
    </w:div>
    <w:div w:id="928539996">
      <w:bodyDiv w:val="1"/>
      <w:marLeft w:val="0"/>
      <w:marRight w:val="0"/>
      <w:marTop w:val="0"/>
      <w:marBottom w:val="0"/>
      <w:divBdr>
        <w:top w:val="none" w:sz="0" w:space="0" w:color="auto"/>
        <w:left w:val="none" w:sz="0" w:space="0" w:color="auto"/>
        <w:bottom w:val="none" w:sz="0" w:space="0" w:color="auto"/>
        <w:right w:val="none" w:sz="0" w:space="0" w:color="auto"/>
      </w:divBdr>
    </w:div>
    <w:div w:id="1010764679">
      <w:bodyDiv w:val="1"/>
      <w:marLeft w:val="0"/>
      <w:marRight w:val="0"/>
      <w:marTop w:val="0"/>
      <w:marBottom w:val="0"/>
      <w:divBdr>
        <w:top w:val="none" w:sz="0" w:space="0" w:color="auto"/>
        <w:left w:val="none" w:sz="0" w:space="0" w:color="auto"/>
        <w:bottom w:val="none" w:sz="0" w:space="0" w:color="auto"/>
        <w:right w:val="none" w:sz="0" w:space="0" w:color="auto"/>
      </w:divBdr>
    </w:div>
    <w:div w:id="1018972733">
      <w:bodyDiv w:val="1"/>
      <w:marLeft w:val="0"/>
      <w:marRight w:val="0"/>
      <w:marTop w:val="0"/>
      <w:marBottom w:val="0"/>
      <w:divBdr>
        <w:top w:val="none" w:sz="0" w:space="0" w:color="auto"/>
        <w:left w:val="none" w:sz="0" w:space="0" w:color="auto"/>
        <w:bottom w:val="none" w:sz="0" w:space="0" w:color="auto"/>
        <w:right w:val="none" w:sz="0" w:space="0" w:color="auto"/>
      </w:divBdr>
    </w:div>
    <w:div w:id="1099830984">
      <w:bodyDiv w:val="1"/>
      <w:marLeft w:val="0"/>
      <w:marRight w:val="0"/>
      <w:marTop w:val="0"/>
      <w:marBottom w:val="0"/>
      <w:divBdr>
        <w:top w:val="none" w:sz="0" w:space="0" w:color="auto"/>
        <w:left w:val="none" w:sz="0" w:space="0" w:color="auto"/>
        <w:bottom w:val="none" w:sz="0" w:space="0" w:color="auto"/>
        <w:right w:val="none" w:sz="0" w:space="0" w:color="auto"/>
      </w:divBdr>
    </w:div>
    <w:div w:id="1164782386">
      <w:bodyDiv w:val="1"/>
      <w:marLeft w:val="0"/>
      <w:marRight w:val="0"/>
      <w:marTop w:val="0"/>
      <w:marBottom w:val="0"/>
      <w:divBdr>
        <w:top w:val="none" w:sz="0" w:space="0" w:color="auto"/>
        <w:left w:val="none" w:sz="0" w:space="0" w:color="auto"/>
        <w:bottom w:val="none" w:sz="0" w:space="0" w:color="auto"/>
        <w:right w:val="none" w:sz="0" w:space="0" w:color="auto"/>
      </w:divBdr>
    </w:div>
    <w:div w:id="1235972705">
      <w:bodyDiv w:val="1"/>
      <w:marLeft w:val="0"/>
      <w:marRight w:val="0"/>
      <w:marTop w:val="0"/>
      <w:marBottom w:val="0"/>
      <w:divBdr>
        <w:top w:val="none" w:sz="0" w:space="0" w:color="auto"/>
        <w:left w:val="none" w:sz="0" w:space="0" w:color="auto"/>
        <w:bottom w:val="none" w:sz="0" w:space="0" w:color="auto"/>
        <w:right w:val="none" w:sz="0" w:space="0" w:color="auto"/>
      </w:divBdr>
    </w:div>
    <w:div w:id="1276525132">
      <w:bodyDiv w:val="1"/>
      <w:marLeft w:val="0"/>
      <w:marRight w:val="0"/>
      <w:marTop w:val="0"/>
      <w:marBottom w:val="0"/>
      <w:divBdr>
        <w:top w:val="none" w:sz="0" w:space="0" w:color="auto"/>
        <w:left w:val="none" w:sz="0" w:space="0" w:color="auto"/>
        <w:bottom w:val="none" w:sz="0" w:space="0" w:color="auto"/>
        <w:right w:val="none" w:sz="0" w:space="0" w:color="auto"/>
      </w:divBdr>
      <w:divsChild>
        <w:div w:id="997150667">
          <w:marLeft w:val="0"/>
          <w:marRight w:val="0"/>
          <w:marTop w:val="0"/>
          <w:marBottom w:val="0"/>
          <w:divBdr>
            <w:top w:val="none" w:sz="0" w:space="0" w:color="auto"/>
            <w:left w:val="none" w:sz="0" w:space="0" w:color="auto"/>
            <w:bottom w:val="none" w:sz="0" w:space="0" w:color="auto"/>
            <w:right w:val="none" w:sz="0" w:space="0" w:color="auto"/>
          </w:divBdr>
          <w:divsChild>
            <w:div w:id="2097049099">
              <w:marLeft w:val="0"/>
              <w:marRight w:val="0"/>
              <w:marTop w:val="0"/>
              <w:marBottom w:val="0"/>
              <w:divBdr>
                <w:top w:val="none" w:sz="0" w:space="0" w:color="auto"/>
                <w:left w:val="none" w:sz="0" w:space="0" w:color="auto"/>
                <w:bottom w:val="none" w:sz="0" w:space="0" w:color="auto"/>
                <w:right w:val="none" w:sz="0" w:space="0" w:color="auto"/>
              </w:divBdr>
              <w:divsChild>
                <w:div w:id="6927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6011">
      <w:bodyDiv w:val="1"/>
      <w:marLeft w:val="0"/>
      <w:marRight w:val="0"/>
      <w:marTop w:val="0"/>
      <w:marBottom w:val="0"/>
      <w:divBdr>
        <w:top w:val="none" w:sz="0" w:space="0" w:color="auto"/>
        <w:left w:val="none" w:sz="0" w:space="0" w:color="auto"/>
        <w:bottom w:val="none" w:sz="0" w:space="0" w:color="auto"/>
        <w:right w:val="none" w:sz="0" w:space="0" w:color="auto"/>
      </w:divBdr>
    </w:div>
    <w:div w:id="1572157045">
      <w:bodyDiv w:val="1"/>
      <w:marLeft w:val="0"/>
      <w:marRight w:val="0"/>
      <w:marTop w:val="0"/>
      <w:marBottom w:val="0"/>
      <w:divBdr>
        <w:top w:val="none" w:sz="0" w:space="0" w:color="auto"/>
        <w:left w:val="none" w:sz="0" w:space="0" w:color="auto"/>
        <w:bottom w:val="none" w:sz="0" w:space="0" w:color="auto"/>
        <w:right w:val="none" w:sz="0" w:space="0" w:color="auto"/>
      </w:divBdr>
    </w:div>
    <w:div w:id="1593466875">
      <w:bodyDiv w:val="1"/>
      <w:marLeft w:val="0"/>
      <w:marRight w:val="0"/>
      <w:marTop w:val="0"/>
      <w:marBottom w:val="0"/>
      <w:divBdr>
        <w:top w:val="none" w:sz="0" w:space="0" w:color="auto"/>
        <w:left w:val="none" w:sz="0" w:space="0" w:color="auto"/>
        <w:bottom w:val="none" w:sz="0" w:space="0" w:color="auto"/>
        <w:right w:val="none" w:sz="0" w:space="0" w:color="auto"/>
      </w:divBdr>
    </w:div>
    <w:div w:id="1599562965">
      <w:bodyDiv w:val="1"/>
      <w:marLeft w:val="0"/>
      <w:marRight w:val="0"/>
      <w:marTop w:val="0"/>
      <w:marBottom w:val="0"/>
      <w:divBdr>
        <w:top w:val="none" w:sz="0" w:space="0" w:color="auto"/>
        <w:left w:val="none" w:sz="0" w:space="0" w:color="auto"/>
        <w:bottom w:val="none" w:sz="0" w:space="0" w:color="auto"/>
        <w:right w:val="none" w:sz="0" w:space="0" w:color="auto"/>
      </w:divBdr>
    </w:div>
    <w:div w:id="1742408119">
      <w:bodyDiv w:val="1"/>
      <w:marLeft w:val="0"/>
      <w:marRight w:val="0"/>
      <w:marTop w:val="0"/>
      <w:marBottom w:val="0"/>
      <w:divBdr>
        <w:top w:val="none" w:sz="0" w:space="0" w:color="auto"/>
        <w:left w:val="none" w:sz="0" w:space="0" w:color="auto"/>
        <w:bottom w:val="none" w:sz="0" w:space="0" w:color="auto"/>
        <w:right w:val="none" w:sz="0" w:space="0" w:color="auto"/>
      </w:divBdr>
      <w:divsChild>
        <w:div w:id="528952551">
          <w:marLeft w:val="0"/>
          <w:marRight w:val="0"/>
          <w:marTop w:val="0"/>
          <w:marBottom w:val="225"/>
          <w:divBdr>
            <w:top w:val="none" w:sz="0" w:space="0" w:color="auto"/>
            <w:left w:val="none" w:sz="0" w:space="0" w:color="auto"/>
            <w:bottom w:val="none" w:sz="0" w:space="0" w:color="auto"/>
            <w:right w:val="none" w:sz="0" w:space="0" w:color="auto"/>
          </w:divBdr>
          <w:divsChild>
            <w:div w:id="1295482362">
              <w:marLeft w:val="0"/>
              <w:marRight w:val="0"/>
              <w:marTop w:val="0"/>
              <w:marBottom w:val="150"/>
              <w:divBdr>
                <w:top w:val="none" w:sz="0" w:space="0" w:color="auto"/>
                <w:left w:val="none" w:sz="0" w:space="0" w:color="auto"/>
                <w:bottom w:val="none" w:sz="0" w:space="0" w:color="auto"/>
                <w:right w:val="none" w:sz="0" w:space="0" w:color="auto"/>
              </w:divBdr>
            </w:div>
          </w:divsChild>
        </w:div>
        <w:div w:id="1083339039">
          <w:marLeft w:val="0"/>
          <w:marRight w:val="0"/>
          <w:marTop w:val="0"/>
          <w:marBottom w:val="0"/>
          <w:divBdr>
            <w:top w:val="none" w:sz="0" w:space="0" w:color="auto"/>
            <w:left w:val="none" w:sz="0" w:space="0" w:color="auto"/>
            <w:bottom w:val="none" w:sz="0" w:space="0" w:color="auto"/>
            <w:right w:val="none" w:sz="0" w:space="0" w:color="auto"/>
          </w:divBdr>
          <w:divsChild>
            <w:div w:id="635843653">
              <w:marLeft w:val="0"/>
              <w:marRight w:val="435"/>
              <w:marTop w:val="0"/>
              <w:marBottom w:val="0"/>
              <w:divBdr>
                <w:top w:val="none" w:sz="0" w:space="0" w:color="auto"/>
                <w:left w:val="none" w:sz="0" w:space="0" w:color="auto"/>
                <w:bottom w:val="none" w:sz="0" w:space="0" w:color="auto"/>
                <w:right w:val="none" w:sz="0" w:space="0" w:color="auto"/>
              </w:divBdr>
            </w:div>
          </w:divsChild>
        </w:div>
      </w:divsChild>
    </w:div>
    <w:div w:id="2081707954">
      <w:bodyDiv w:val="1"/>
      <w:marLeft w:val="0"/>
      <w:marRight w:val="0"/>
      <w:marTop w:val="0"/>
      <w:marBottom w:val="0"/>
      <w:divBdr>
        <w:top w:val="none" w:sz="0" w:space="0" w:color="auto"/>
        <w:left w:val="none" w:sz="0" w:space="0" w:color="auto"/>
        <w:bottom w:val="none" w:sz="0" w:space="0" w:color="auto"/>
        <w:right w:val="none" w:sz="0" w:space="0" w:color="auto"/>
      </w:divBdr>
    </w:div>
    <w:div w:id="20901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riouscasereviews.rip.org.uk/" TargetMode="External"/><Relationship Id="rId18" Type="http://schemas.openxmlformats.org/officeDocument/2006/relationships/hyperlink" Target="https://www.researchinpractice.org.uk/children/news-views/2021/may/more-than-faith-muslim-heritage-children-lived-religion-and-curiosit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esearchinpractice.org.uk/dashboard/"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researchinpractice.org.uk/children/news-views/2020/june/tackling-child-exploitation-leading-with-care-blurring-boundaries-and-holding-complexity-uncertainty-and-curiosit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searchinpractice.org.uk/children/news-views/2020/may/the-importance-of-reflective-curious-and-relational-supervision-wave-three-of-the-psdp/" TargetMode="External"/><Relationship Id="rId20" Type="http://schemas.openxmlformats.org/officeDocument/2006/relationships/hyperlink" Target="https://www.researchinpractice.org.uk/children/news-views/2016/august/exploring-how-neglect-might-interact-with-forms-of-sexual-har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earchinpractice.org.uk/all/content-pages/training-and-development-programmes/online-learning-packages-tailored-support/an-introduction-to-cultural-competence-in-social-care/" TargetMode="External"/><Relationship Id="rId24" Type="http://schemas.openxmlformats.org/officeDocument/2006/relationships/hyperlink" Target="https://www.researchinpractice.org.uk/dashboard/my-cpd/" TargetMode="External"/><Relationship Id="rId5" Type="http://schemas.openxmlformats.org/officeDocument/2006/relationships/styles" Target="styles.xml"/><Relationship Id="rId15" Type="http://schemas.openxmlformats.org/officeDocument/2006/relationships/hyperlink" Target="https://www.researchinpractice.org.uk/children/case-law-and-legal-summaries/" TargetMode="External"/><Relationship Id="rId23" Type="http://schemas.openxmlformats.org/officeDocument/2006/relationships/hyperlink" Target="mailto:ask@researchinpractice.org.uk"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researchinpractice.org.uk/all/news-views/2021/march/thinking-about-the-impact-of-racis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s://www.researchinpractice.org.uk/registe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50CAD67EDF344B920EBC8C78EF5E9" ma:contentTypeVersion="4" ma:contentTypeDescription="Create a new document." ma:contentTypeScope="" ma:versionID="8dbdf6af9c222505183ad948fa58386a">
  <xsd:schema xmlns:xsd="http://www.w3.org/2001/XMLSchema" xmlns:xs="http://www.w3.org/2001/XMLSchema" xmlns:p="http://schemas.microsoft.com/office/2006/metadata/properties" xmlns:ns2="ca010d7d-b7a2-40c4-bb1f-414dddd2c8da" targetNamespace="http://schemas.microsoft.com/office/2006/metadata/properties" ma:root="true" ma:fieldsID="90d3f78232fe8084ab568790b31e1abe" ns2:_="">
    <xsd:import namespace="ca010d7d-b7a2-40c4-bb1f-414dddd2c8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10d7d-b7a2-40c4-bb1f-414dddd2c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7B58D-716F-4775-BDAD-078D4AA41761}"/>
</file>

<file path=customXml/itemProps2.xml><?xml version="1.0" encoding="utf-8"?>
<ds:datastoreItem xmlns:ds="http://schemas.openxmlformats.org/officeDocument/2006/customXml" ds:itemID="{CD3B7B54-1ADE-4E0A-8458-8646AEA8DA80}">
  <ds:schemaRefs>
    <ds:schemaRef ds:uri="http://schemas.microsoft.com/office/2006/metadata/properties"/>
    <ds:schemaRef ds:uri="http://schemas.microsoft.com/office/infopath/2007/PartnerControls"/>
    <ds:schemaRef ds:uri="2540e424-217c-45f0-b4fe-63acdbb76fc0"/>
  </ds:schemaRefs>
</ds:datastoreItem>
</file>

<file path=customXml/itemProps3.xml><?xml version="1.0" encoding="utf-8"?>
<ds:datastoreItem xmlns:ds="http://schemas.openxmlformats.org/officeDocument/2006/customXml" ds:itemID="{626CC7AA-6AFB-4095-A912-0D75E6779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resilience</dc:title>
  <dc:subject/>
  <dc:creator>Louise Johnstone</dc:creator>
  <cp:keywords/>
  <dc:description/>
  <cp:lastModifiedBy>Louise Johnstone</cp:lastModifiedBy>
  <cp:revision>12</cp:revision>
  <cp:lastPrinted>2017-08-04T10:01:00Z</cp:lastPrinted>
  <dcterms:created xsi:type="dcterms:W3CDTF">2021-10-11T10:57:00Z</dcterms:created>
  <dcterms:modified xsi:type="dcterms:W3CDTF">2021-12-21T17:31:00Z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0x01010091475D53C8F2DC4BA3EE4D1361F5F0B3</vt:lpwstr>
  </property>
</Properties>
</file>